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E4C" w:rsidRDefault="00E22E4C" w:rsidP="00E22E4C">
      <w:pPr>
        <w:spacing w:after="0" w:line="240" w:lineRule="auto"/>
        <w:jc w:val="both"/>
        <w:rPr>
          <w:rFonts w:ascii="Simplified Arabic Fixed" w:eastAsia="Times New Roman" w:hAnsi="Simplified Arabic Fixed" w:cs="Simplified Arabic Fixed"/>
          <w:b/>
          <w:bCs/>
          <w:lang w:eastAsia="es-ES"/>
        </w:rPr>
      </w:pPr>
      <w:r w:rsidRPr="00E22E4C">
        <w:rPr>
          <w:rFonts w:ascii="Simplified Arabic Fixed" w:eastAsia="Times New Roman" w:hAnsi="Simplified Arabic Fixed" w:cs="Simplified Arabic Fixed"/>
          <w:b/>
          <w:bCs/>
          <w:lang w:eastAsia="es-ES"/>
        </w:rPr>
        <w:t xml:space="preserve">EXPEDIENTE NÚMERO: 13/2016. - - - - - - - - - - - - - - - - - </w:t>
      </w:r>
      <w:r>
        <w:rPr>
          <w:rFonts w:ascii="Simplified Arabic Fixed" w:eastAsia="Times New Roman" w:hAnsi="Simplified Arabic Fixed" w:cs="Simplified Arabic Fixed"/>
          <w:b/>
          <w:bCs/>
          <w:lang w:eastAsia="es-ES"/>
        </w:rPr>
        <w:t>- - -</w:t>
      </w:r>
    </w:p>
    <w:p w:rsidR="00E22E4C" w:rsidRDefault="00E22E4C" w:rsidP="00E22E4C">
      <w:pPr>
        <w:spacing w:after="0" w:line="240" w:lineRule="auto"/>
        <w:jc w:val="both"/>
        <w:rPr>
          <w:rFonts w:ascii="Simplified Arabic Fixed" w:eastAsia="Times New Roman" w:hAnsi="Simplified Arabic Fixed" w:cs="Simplified Arabic Fixed"/>
          <w:b/>
          <w:bCs/>
          <w:lang w:eastAsia="es-ES"/>
        </w:rPr>
      </w:pPr>
    </w:p>
    <w:p w:rsidR="00E22E4C" w:rsidRPr="00E22E4C" w:rsidRDefault="00E22E4C" w:rsidP="00E22E4C">
      <w:p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RECURSO DE INCONFORMIDAD. - - - - - - - - - - - - - - - - - - - - - </w:t>
      </w:r>
    </w:p>
    <w:p w:rsidR="00E22E4C" w:rsidRPr="00E22E4C" w:rsidRDefault="00E22E4C" w:rsidP="00E22E4C">
      <w:pPr>
        <w:spacing w:after="0" w:line="240" w:lineRule="auto"/>
        <w:jc w:val="both"/>
        <w:rPr>
          <w:rFonts w:ascii="Simplified Arabic Fixed" w:eastAsia="Times New Roman" w:hAnsi="Simplified Arabic Fixed" w:cs="Simplified Arabic Fixed"/>
          <w:b/>
          <w:bCs/>
          <w:lang w:eastAsia="es-ES"/>
        </w:rPr>
      </w:pPr>
    </w:p>
    <w:p w:rsidR="00E22E4C" w:rsidRPr="00E22E4C" w:rsidRDefault="00E22E4C" w:rsidP="00E22E4C">
      <w:pPr>
        <w:spacing w:after="0" w:line="240" w:lineRule="auto"/>
        <w:jc w:val="both"/>
        <w:rPr>
          <w:rFonts w:ascii="Simplified Arabic Fixed" w:eastAsia="Times New Roman" w:hAnsi="Simplified Arabic Fixed" w:cs="Simplified Arabic Fixed"/>
          <w:bCs/>
          <w:lang w:val="es-ES" w:eastAsia="es-ES"/>
        </w:rPr>
      </w:pPr>
      <w:r w:rsidRPr="00E22E4C">
        <w:rPr>
          <w:rFonts w:ascii="Simplified Arabic Fixed" w:eastAsia="Times New Roman" w:hAnsi="Simplified Arabic Fixed" w:cs="Simplified Arabic Fixed"/>
          <w:b/>
          <w:bCs/>
          <w:lang w:eastAsia="es-ES"/>
        </w:rPr>
        <w:t xml:space="preserve">INCONFORME: </w:t>
      </w:r>
      <w:r w:rsidR="00420F9B">
        <w:rPr>
          <w:rFonts w:ascii="Simplified Arabic Fixed" w:eastAsia="Times New Roman" w:hAnsi="Simplified Arabic Fixed" w:cs="Simplified Arabic Fixed"/>
          <w:bCs/>
          <w:lang w:val="es-ES" w:eastAsia="es-ES"/>
        </w:rPr>
        <w:t>*********************************</w:t>
      </w:r>
      <w:r w:rsidRPr="00E22E4C">
        <w:rPr>
          <w:rFonts w:ascii="Simplified Arabic Fixed" w:eastAsia="Times New Roman" w:hAnsi="Simplified Arabic Fixed" w:cs="Simplified Arabic Fixed"/>
          <w:bCs/>
          <w:lang w:eastAsia="es-ES"/>
        </w:rPr>
        <w:t xml:space="preserve">, promoviendo por su propio derecho, señalando como domicilio para recibir notificaciones el ubicado en </w:t>
      </w:r>
      <w:r w:rsidRPr="00E22E4C">
        <w:rPr>
          <w:rFonts w:ascii="Simplified Arabic Fixed" w:eastAsia="Times New Roman" w:hAnsi="Simplified Arabic Fixed" w:cs="Simplified Arabic Fixed"/>
          <w:bCs/>
          <w:lang w:val="es-ES" w:eastAsia="es-ES"/>
        </w:rPr>
        <w:t xml:space="preserve">el </w:t>
      </w:r>
      <w:r w:rsidR="00420F9B">
        <w:rPr>
          <w:rFonts w:ascii="Simplified Arabic Fixed" w:eastAsia="Times New Roman" w:hAnsi="Simplified Arabic Fixed" w:cs="Simplified Arabic Fixed"/>
          <w:bCs/>
          <w:lang w:val="es-ES" w:eastAsia="es-ES"/>
        </w:rPr>
        <w:t>*****************************</w:t>
      </w:r>
      <w:r w:rsidRPr="00E22E4C">
        <w:rPr>
          <w:rFonts w:ascii="Simplified Arabic Fixed" w:eastAsia="Times New Roman" w:hAnsi="Simplified Arabic Fixed" w:cs="Simplified Arabic Fixed"/>
          <w:bCs/>
          <w:lang w:eastAsia="es-ES"/>
        </w:rPr>
        <w:t xml:space="preserve">. - - - - - </w:t>
      </w:r>
      <w:r w:rsidR="00420F9B">
        <w:rPr>
          <w:rFonts w:ascii="Simplified Arabic Fixed" w:eastAsia="Times New Roman" w:hAnsi="Simplified Arabic Fixed" w:cs="Simplified Arabic Fixed"/>
          <w:bCs/>
          <w:lang w:eastAsia="es-ES"/>
        </w:rPr>
        <w:t xml:space="preserve">- - - - - </w:t>
      </w:r>
    </w:p>
    <w:p w:rsidR="00E22E4C" w:rsidRPr="00E22E4C" w:rsidRDefault="00E22E4C" w:rsidP="00E22E4C">
      <w:pPr>
        <w:spacing w:after="0" w:line="240" w:lineRule="auto"/>
        <w:jc w:val="both"/>
        <w:rPr>
          <w:rFonts w:ascii="Simplified Arabic Fixed" w:eastAsia="Times New Roman" w:hAnsi="Simplified Arabic Fixed" w:cs="Simplified Arabic Fixed"/>
          <w:bCs/>
          <w:lang w:eastAsia="es-ES"/>
        </w:rPr>
      </w:pPr>
    </w:p>
    <w:p w:rsidR="00E22E4C" w:rsidRPr="00E22E4C" w:rsidRDefault="00E22E4C" w:rsidP="00E22E4C">
      <w:pPr>
        <w:spacing w:after="0" w:line="240" w:lineRule="auto"/>
        <w:jc w:val="both"/>
        <w:rPr>
          <w:rFonts w:ascii="Simplified Arabic Fixed" w:eastAsia="Times New Roman" w:hAnsi="Simplified Arabic Fixed" w:cs="Simplified Arabic Fixed"/>
          <w:b/>
          <w:bCs/>
          <w:lang w:eastAsia="es-ES"/>
        </w:rPr>
      </w:pPr>
      <w:r w:rsidRPr="00E22E4C">
        <w:rPr>
          <w:rFonts w:ascii="Simplified Arabic Fixed" w:eastAsia="Times New Roman" w:hAnsi="Simplified Arabic Fixed" w:cs="Simplified Arabic Fixed"/>
          <w:b/>
          <w:bCs/>
          <w:lang w:eastAsia="es-ES"/>
        </w:rPr>
        <w:t xml:space="preserve">AUTORIDAD RESPONSABLE: </w:t>
      </w:r>
      <w:r w:rsidRPr="00E22E4C">
        <w:rPr>
          <w:rFonts w:ascii="Simplified Arabic Fixed" w:eastAsia="Times New Roman" w:hAnsi="Simplified Arabic Fixed" w:cs="Simplified Arabic Fixed"/>
          <w:bCs/>
          <w:lang w:eastAsia="es-ES"/>
        </w:rPr>
        <w:t>JEFATURA DEL DEPARTAMENTO DE LA ADMINISTRACION DE MERCADOS Y TIANGUIS DEL H. AYUNTAMIENTO DE ATLIXCO.</w:t>
      </w:r>
      <w:r>
        <w:rPr>
          <w:rFonts w:ascii="Simplified Arabic Fixed" w:eastAsia="Times New Roman" w:hAnsi="Simplified Arabic Fixed" w:cs="Simplified Arabic Fixed"/>
          <w:bCs/>
          <w:lang w:eastAsia="es-ES"/>
        </w:rPr>
        <w:t xml:space="preserve"> </w:t>
      </w:r>
      <w:r w:rsidRPr="00E22E4C">
        <w:rPr>
          <w:rFonts w:ascii="Simplified Arabic Fixed" w:eastAsia="Times New Roman" w:hAnsi="Simplified Arabic Fixed" w:cs="Simplified Arabic Fixed"/>
          <w:bCs/>
          <w:lang w:eastAsia="es-ES"/>
        </w:rPr>
        <w:t xml:space="preserve">  </w:t>
      </w:r>
    </w:p>
    <w:p w:rsidR="00E22E4C" w:rsidRPr="00E22E4C" w:rsidRDefault="00E22E4C" w:rsidP="00E22E4C">
      <w:pPr>
        <w:spacing w:after="0" w:line="240" w:lineRule="auto"/>
        <w:jc w:val="both"/>
        <w:rPr>
          <w:rFonts w:ascii="Simplified Arabic Fixed" w:eastAsia="Times New Roman" w:hAnsi="Simplified Arabic Fixed" w:cs="Simplified Arabic Fixed"/>
          <w:b/>
          <w:bCs/>
          <w:lang w:eastAsia="es-ES"/>
        </w:rPr>
      </w:pPr>
    </w:p>
    <w:p w:rsidR="00E22E4C" w:rsidRDefault="00E22E4C" w:rsidP="00E22E4C">
      <w:pPr>
        <w:spacing w:after="0" w:line="240" w:lineRule="auto"/>
        <w:jc w:val="both"/>
        <w:rPr>
          <w:rFonts w:ascii="Simplified Arabic Fixed" w:eastAsia="Times New Roman" w:hAnsi="Simplified Arabic Fixed" w:cs="Simplified Arabic Fixed"/>
          <w:bCs/>
          <w:lang w:eastAsia="es-ES"/>
        </w:rPr>
      </w:pPr>
      <w:r w:rsidRPr="00E22E4C">
        <w:rPr>
          <w:rFonts w:ascii="Simplified Arabic Fixed" w:eastAsia="Times New Roman" w:hAnsi="Simplified Arabic Fixed" w:cs="Simplified Arabic Fixed"/>
          <w:b/>
          <w:bCs/>
          <w:lang w:eastAsia="es-ES"/>
        </w:rPr>
        <w:t xml:space="preserve">TERCERO PERJUDICADO: </w:t>
      </w:r>
      <w:r w:rsidRPr="00E22E4C">
        <w:rPr>
          <w:rFonts w:ascii="Simplified Arabic Fixed" w:eastAsia="Times New Roman" w:hAnsi="Simplified Arabic Fixed" w:cs="Simplified Arabic Fixed"/>
          <w:bCs/>
          <w:lang w:eastAsia="es-ES"/>
        </w:rPr>
        <w:t>NO EXISTE. - - - - - - - - - - - - - - - - - -</w:t>
      </w:r>
    </w:p>
    <w:p w:rsidR="00E22E4C" w:rsidRPr="00E22E4C" w:rsidRDefault="00E22E4C" w:rsidP="00E22E4C">
      <w:pPr>
        <w:spacing w:after="0" w:line="240" w:lineRule="auto"/>
        <w:jc w:val="both"/>
        <w:rPr>
          <w:rFonts w:ascii="Simplified Arabic Fixed" w:eastAsia="Times New Roman" w:hAnsi="Simplified Arabic Fixed" w:cs="Simplified Arabic Fixed"/>
          <w:b/>
          <w:bCs/>
          <w:lang w:eastAsia="es-ES"/>
        </w:rPr>
      </w:pPr>
    </w:p>
    <w:p w:rsidR="00F37201" w:rsidRPr="00F37201" w:rsidRDefault="00376994" w:rsidP="00376994">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
          <w:bCs/>
          <w:lang w:eastAsia="es-ES"/>
        </w:rPr>
        <w:t>RAZÓN DE CUENTA:</w:t>
      </w:r>
      <w:r w:rsidRPr="005E4FF8">
        <w:rPr>
          <w:rFonts w:ascii="Simplified Arabic Fixed" w:eastAsia="Times New Roman" w:hAnsi="Simplified Arabic Fixed" w:cs="Simplified Arabic Fixed"/>
          <w:bCs/>
          <w:lang w:eastAsia="es-ES"/>
        </w:rPr>
        <w:t xml:space="preserve"> En la Heroica Ciudad de Atlixco, Puebla, a </w:t>
      </w:r>
      <w:r w:rsidR="00FD3C03">
        <w:rPr>
          <w:rFonts w:ascii="Simplified Arabic Fixed" w:eastAsia="Times New Roman" w:hAnsi="Simplified Arabic Fixed" w:cs="Simplified Arabic Fixed"/>
          <w:bCs/>
          <w:lang w:eastAsia="es-ES"/>
        </w:rPr>
        <w:t>los</w:t>
      </w:r>
      <w:r w:rsidR="00541BC1">
        <w:rPr>
          <w:rFonts w:ascii="Simplified Arabic Fixed" w:eastAsia="Times New Roman" w:hAnsi="Simplified Arabic Fixed" w:cs="Simplified Arabic Fixed"/>
          <w:bCs/>
          <w:lang w:eastAsia="es-ES"/>
        </w:rPr>
        <w:t xml:space="preserve"> tres</w:t>
      </w:r>
      <w:r w:rsidR="00FD3C03">
        <w:rPr>
          <w:rFonts w:ascii="Simplified Arabic Fixed" w:eastAsia="Times New Roman" w:hAnsi="Simplified Arabic Fixed" w:cs="Simplified Arabic Fixed"/>
          <w:bCs/>
          <w:lang w:eastAsia="es-ES"/>
        </w:rPr>
        <w:t xml:space="preserve"> </w:t>
      </w:r>
      <w:r w:rsidR="00EC2E94" w:rsidRPr="005E4FF8">
        <w:rPr>
          <w:rFonts w:ascii="Simplified Arabic Fixed" w:eastAsia="Times New Roman" w:hAnsi="Simplified Arabic Fixed" w:cs="Simplified Arabic Fixed"/>
          <w:bCs/>
          <w:lang w:eastAsia="es-ES"/>
        </w:rPr>
        <w:t>días del</w:t>
      </w:r>
      <w:r w:rsidRPr="005E4FF8">
        <w:rPr>
          <w:rFonts w:ascii="Simplified Arabic Fixed" w:eastAsia="Times New Roman" w:hAnsi="Simplified Arabic Fixed" w:cs="Simplified Arabic Fixed"/>
          <w:bCs/>
          <w:lang w:eastAsia="es-ES"/>
        </w:rPr>
        <w:t xml:space="preserve"> mes de </w:t>
      </w:r>
      <w:r w:rsidR="00541BC1">
        <w:rPr>
          <w:rFonts w:ascii="Simplified Arabic Fixed" w:eastAsia="Times New Roman" w:hAnsi="Simplified Arabic Fixed" w:cs="Simplified Arabic Fixed"/>
          <w:bCs/>
          <w:lang w:eastAsia="es-ES"/>
        </w:rPr>
        <w:t>febrero</w:t>
      </w:r>
      <w:r w:rsidRPr="005E4FF8">
        <w:rPr>
          <w:rFonts w:ascii="Simplified Arabic Fixed" w:eastAsia="Times New Roman" w:hAnsi="Simplified Arabic Fixed" w:cs="Simplified Arabic Fixed"/>
          <w:bCs/>
          <w:lang w:eastAsia="es-ES"/>
        </w:rPr>
        <w:t xml:space="preserve"> de dos mil </w:t>
      </w:r>
      <w:r w:rsidR="00FD3C03">
        <w:rPr>
          <w:rFonts w:ascii="Simplified Arabic Fixed" w:eastAsia="Times New Roman" w:hAnsi="Simplified Arabic Fixed" w:cs="Simplified Arabic Fixed"/>
          <w:bCs/>
          <w:lang w:eastAsia="es-ES"/>
        </w:rPr>
        <w:t>dieci</w:t>
      </w:r>
      <w:r w:rsidR="00541BC1">
        <w:rPr>
          <w:rFonts w:ascii="Simplified Arabic Fixed" w:eastAsia="Times New Roman" w:hAnsi="Simplified Arabic Fixed" w:cs="Simplified Arabic Fixed"/>
          <w:bCs/>
          <w:lang w:eastAsia="es-ES"/>
        </w:rPr>
        <w:t>siete</w:t>
      </w:r>
      <w:r w:rsidRPr="005E4FF8">
        <w:rPr>
          <w:rFonts w:ascii="Simplified Arabic Fixed" w:eastAsia="Times New Roman" w:hAnsi="Simplified Arabic Fixed" w:cs="Simplified Arabic Fixed"/>
          <w:bCs/>
          <w:lang w:eastAsia="es-ES"/>
        </w:rPr>
        <w:t>, el suscrito Licenciado Jorge Gutiérrez Ramos, Síndico Municip</w:t>
      </w:r>
      <w:r w:rsidR="008941C2" w:rsidRPr="005E4FF8">
        <w:rPr>
          <w:rFonts w:ascii="Simplified Arabic Fixed" w:eastAsia="Times New Roman" w:hAnsi="Simplified Arabic Fixed" w:cs="Simplified Arabic Fixed"/>
          <w:bCs/>
          <w:lang w:eastAsia="es-ES"/>
        </w:rPr>
        <w:t>al del</w:t>
      </w:r>
      <w:r w:rsidRPr="005E4FF8">
        <w:rPr>
          <w:rFonts w:ascii="Simplified Arabic Fixed" w:eastAsia="Times New Roman" w:hAnsi="Simplified Arabic Fixed" w:cs="Simplified Arabic Fixed"/>
          <w:bCs/>
          <w:lang w:eastAsia="es-ES"/>
        </w:rPr>
        <w:t xml:space="preserve"> Honorable Ayuntamiento de Atlixco, doy cuenta con</w:t>
      </w:r>
      <w:r w:rsidR="00E3391D" w:rsidRPr="005E4FF8">
        <w:rPr>
          <w:rFonts w:ascii="Simplified Arabic Fixed" w:eastAsia="Times New Roman" w:hAnsi="Simplified Arabic Fixed" w:cs="Simplified Arabic Fixed"/>
          <w:bCs/>
          <w:lang w:eastAsia="es-ES"/>
        </w:rPr>
        <w:t xml:space="preserve"> el estado procesal que guarda el presente expediente para dictar resolución que en derecho proceda.</w:t>
      </w:r>
      <w:r w:rsidR="00541BC1">
        <w:rPr>
          <w:rFonts w:ascii="Simplified Arabic Fixed" w:eastAsia="Times New Roman" w:hAnsi="Simplified Arabic Fixed" w:cs="Simplified Arabic Fixed"/>
          <w:bCs/>
          <w:lang w:eastAsia="es-ES"/>
        </w:rPr>
        <w:t xml:space="preserve"> - - - - - </w:t>
      </w:r>
      <w:r w:rsidR="003F6BD4">
        <w:rPr>
          <w:rFonts w:ascii="Simplified Arabic Fixed" w:eastAsia="Times New Roman" w:hAnsi="Simplified Arabic Fixed" w:cs="Simplified Arabic Fixed"/>
          <w:bCs/>
          <w:lang w:eastAsia="es-ES"/>
        </w:rPr>
        <w:t xml:space="preserve"> </w:t>
      </w:r>
    </w:p>
    <w:p w:rsidR="005E4FF8" w:rsidRPr="005E4FF8" w:rsidRDefault="005E4FF8" w:rsidP="00B56FB9">
      <w:pPr>
        <w:spacing w:after="0" w:line="240" w:lineRule="auto"/>
        <w:jc w:val="both"/>
        <w:rPr>
          <w:rFonts w:ascii="Simplified Arabic Fixed" w:eastAsia="Times New Roman" w:hAnsi="Simplified Arabic Fixed" w:cs="Simplified Arabic Fixed"/>
          <w:b/>
          <w:bCs/>
          <w:lang w:eastAsia="es-ES"/>
        </w:rPr>
      </w:pPr>
    </w:p>
    <w:p w:rsidR="00E22833" w:rsidRPr="00152B52" w:rsidRDefault="00E3391D" w:rsidP="00B56FB9">
      <w:p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VISTOS</w:t>
      </w:r>
      <w:r w:rsidR="003666BC" w:rsidRPr="005E4FF8">
        <w:rPr>
          <w:rFonts w:ascii="Simplified Arabic Fixed" w:eastAsia="Times New Roman" w:hAnsi="Simplified Arabic Fixed" w:cs="Simplified Arabic Fixed"/>
          <w:bCs/>
          <w:lang w:eastAsia="es-ES"/>
        </w:rPr>
        <w:t xml:space="preserve"> lo</w:t>
      </w:r>
      <w:r w:rsidR="00B56FB9" w:rsidRPr="005E4FF8">
        <w:rPr>
          <w:rFonts w:ascii="Simplified Arabic Fixed" w:eastAsia="Times New Roman" w:hAnsi="Simplified Arabic Fixed" w:cs="Simplified Arabic Fixed"/>
          <w:bCs/>
          <w:lang w:eastAsia="es-ES"/>
        </w:rPr>
        <w:t xml:space="preserve">s autos del expediente número </w:t>
      </w:r>
      <w:r w:rsidR="00541BC1">
        <w:rPr>
          <w:rFonts w:ascii="Simplified Arabic Fixed" w:eastAsia="Times New Roman" w:hAnsi="Simplified Arabic Fixed" w:cs="Simplified Arabic Fixed"/>
          <w:b/>
          <w:bCs/>
          <w:lang w:eastAsia="es-ES"/>
        </w:rPr>
        <w:t>13</w:t>
      </w:r>
      <w:r w:rsidR="00F37201" w:rsidRPr="005E4FF8">
        <w:rPr>
          <w:rFonts w:ascii="Simplified Arabic Fixed" w:eastAsia="Times New Roman" w:hAnsi="Simplified Arabic Fixed" w:cs="Simplified Arabic Fixed"/>
          <w:b/>
          <w:bCs/>
          <w:lang w:eastAsia="es-ES"/>
        </w:rPr>
        <w:t>/201</w:t>
      </w:r>
      <w:r w:rsidR="003F6BD4">
        <w:rPr>
          <w:rFonts w:ascii="Simplified Arabic Fixed" w:eastAsia="Times New Roman" w:hAnsi="Simplified Arabic Fixed" w:cs="Simplified Arabic Fixed"/>
          <w:b/>
          <w:bCs/>
          <w:lang w:eastAsia="es-ES"/>
        </w:rPr>
        <w:t>6</w:t>
      </w:r>
      <w:r w:rsidR="00F37201">
        <w:rPr>
          <w:rFonts w:ascii="Simplified Arabic Fixed" w:eastAsia="Times New Roman" w:hAnsi="Simplified Arabic Fixed" w:cs="Simplified Arabic Fixed"/>
          <w:b/>
          <w:bCs/>
          <w:lang w:eastAsia="es-ES"/>
        </w:rPr>
        <w:t xml:space="preserve"> </w:t>
      </w:r>
      <w:r w:rsidR="003666BC" w:rsidRPr="005E4FF8">
        <w:rPr>
          <w:rFonts w:ascii="Simplified Arabic Fixed" w:eastAsia="Times New Roman" w:hAnsi="Simplified Arabic Fixed" w:cs="Simplified Arabic Fixed"/>
          <w:bCs/>
          <w:lang w:eastAsia="es-ES"/>
        </w:rPr>
        <w:t xml:space="preserve">para dictar </w:t>
      </w:r>
      <w:r w:rsidR="003666BC" w:rsidRPr="005E4FF8">
        <w:rPr>
          <w:rFonts w:ascii="Simplified Arabic Fixed" w:eastAsia="Times New Roman" w:hAnsi="Simplified Arabic Fixed" w:cs="Simplified Arabic Fixed"/>
          <w:b/>
          <w:bCs/>
          <w:lang w:eastAsia="es-ES"/>
        </w:rPr>
        <w:t>RESOLUCION DEFINITIVA</w:t>
      </w:r>
      <w:r w:rsidR="003666BC" w:rsidRPr="005E4FF8">
        <w:rPr>
          <w:rFonts w:ascii="Simplified Arabic Fixed" w:eastAsia="Times New Roman" w:hAnsi="Simplified Arabic Fixed" w:cs="Simplified Arabic Fixed"/>
          <w:bCs/>
          <w:lang w:eastAsia="es-ES"/>
        </w:rPr>
        <w:t xml:space="preserve"> relativa al Recurso d</w:t>
      </w:r>
      <w:r w:rsidR="00152B52">
        <w:rPr>
          <w:rFonts w:ascii="Simplified Arabic Fixed" w:eastAsia="Times New Roman" w:hAnsi="Simplified Arabic Fixed" w:cs="Simplified Arabic Fixed"/>
          <w:bCs/>
          <w:lang w:eastAsia="es-ES"/>
        </w:rPr>
        <w:t xml:space="preserve">e Inconformidad promovido por </w:t>
      </w:r>
      <w:r w:rsidR="00541BC1">
        <w:rPr>
          <w:rFonts w:ascii="Simplified Arabic Fixed" w:eastAsia="Times New Roman" w:hAnsi="Simplified Arabic Fixed" w:cs="Simplified Arabic Fixed"/>
          <w:bCs/>
          <w:lang w:eastAsia="es-ES"/>
        </w:rPr>
        <w:t>la</w:t>
      </w:r>
      <w:r w:rsidR="003666BC" w:rsidRPr="005E4FF8">
        <w:rPr>
          <w:rFonts w:ascii="Simplified Arabic Fixed" w:eastAsia="Times New Roman" w:hAnsi="Simplified Arabic Fixed" w:cs="Simplified Arabic Fixed"/>
          <w:bCs/>
          <w:lang w:eastAsia="es-ES"/>
        </w:rPr>
        <w:t xml:space="preserve"> </w:t>
      </w:r>
      <w:r w:rsidR="003666BC" w:rsidRPr="005E4FF8">
        <w:rPr>
          <w:rFonts w:ascii="Simplified Arabic Fixed" w:eastAsia="Times New Roman" w:hAnsi="Simplified Arabic Fixed" w:cs="Simplified Arabic Fixed"/>
          <w:b/>
          <w:bCs/>
          <w:lang w:eastAsia="es-ES"/>
        </w:rPr>
        <w:t>C</w:t>
      </w:r>
      <w:r w:rsidR="00E47A35" w:rsidRPr="005E4FF8">
        <w:rPr>
          <w:rFonts w:ascii="Simplified Arabic Fixed" w:eastAsia="Times New Roman" w:hAnsi="Simplified Arabic Fixed" w:cs="Simplified Arabic Fixed"/>
          <w:b/>
          <w:bCs/>
          <w:lang w:eastAsia="es-ES"/>
        </w:rPr>
        <w:t xml:space="preserve">. </w:t>
      </w:r>
      <w:r w:rsidR="00420F9B">
        <w:rPr>
          <w:rFonts w:ascii="Simplified Arabic Fixed" w:eastAsia="Times New Roman" w:hAnsi="Simplified Arabic Fixed" w:cs="Simplified Arabic Fixed"/>
          <w:b/>
          <w:bCs/>
          <w:lang w:val="es-ES" w:eastAsia="es-ES"/>
        </w:rPr>
        <w:t>***********************</w:t>
      </w:r>
      <w:r w:rsidR="00152B52">
        <w:rPr>
          <w:rFonts w:ascii="Simplified Arabic Fixed" w:eastAsia="Times New Roman" w:hAnsi="Simplified Arabic Fixed" w:cs="Simplified Arabic Fixed"/>
          <w:b/>
          <w:bCs/>
          <w:lang w:eastAsia="es-ES"/>
        </w:rPr>
        <w:t xml:space="preserve">, </w:t>
      </w:r>
      <w:r w:rsidR="00152B52">
        <w:rPr>
          <w:rFonts w:ascii="Simplified Arabic Fixed" w:eastAsia="Times New Roman" w:hAnsi="Simplified Arabic Fixed" w:cs="Simplified Arabic Fixed"/>
          <w:bCs/>
          <w:lang w:eastAsia="es-ES"/>
        </w:rPr>
        <w:t xml:space="preserve">en contra de actos de la </w:t>
      </w:r>
      <w:r w:rsidR="00541BC1" w:rsidRPr="00541BC1">
        <w:rPr>
          <w:rFonts w:ascii="Simplified Arabic Fixed" w:eastAsia="Times New Roman" w:hAnsi="Simplified Arabic Fixed" w:cs="Simplified Arabic Fixed"/>
          <w:b/>
          <w:bCs/>
          <w:lang w:eastAsia="es-ES"/>
        </w:rPr>
        <w:t>JEFATURA DEL DEPARTAMENTO DE LA ADMINISTRACION DE MERCADOS Y TIANGUIS DEL H. AYUNTAMIENTO DE ATLIXCO</w:t>
      </w:r>
      <w:r w:rsidR="00152B52">
        <w:rPr>
          <w:rFonts w:ascii="Simplified Arabic Fixed" w:eastAsia="Times New Roman" w:hAnsi="Simplified Arabic Fixed" w:cs="Simplified Arabic Fixed"/>
          <w:b/>
          <w:bCs/>
          <w:lang w:eastAsia="es-ES"/>
        </w:rPr>
        <w:t>; y,</w:t>
      </w:r>
    </w:p>
    <w:p w:rsidR="007D3BDA" w:rsidRPr="005E4FF8" w:rsidRDefault="007D3BDA" w:rsidP="00B56FB9">
      <w:pPr>
        <w:spacing w:after="0" w:line="240" w:lineRule="auto"/>
        <w:jc w:val="both"/>
        <w:rPr>
          <w:rFonts w:ascii="Simplified Arabic Fixed" w:eastAsia="Times New Roman" w:hAnsi="Simplified Arabic Fixed" w:cs="Simplified Arabic Fixed"/>
          <w:b/>
          <w:bCs/>
          <w:lang w:eastAsia="es-ES"/>
        </w:rPr>
      </w:pPr>
    </w:p>
    <w:p w:rsidR="00E22833" w:rsidRPr="005E4FF8" w:rsidRDefault="003666BC" w:rsidP="00E22833">
      <w:pPr>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R</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U</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L</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T</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52B52">
        <w:rPr>
          <w:rFonts w:ascii="Simplified Arabic Fixed" w:eastAsia="Times New Roman" w:hAnsi="Simplified Arabic Fixed" w:cs="Simplified Arabic Fixed"/>
          <w:b/>
          <w:bCs/>
          <w:lang w:eastAsia="es-ES"/>
        </w:rPr>
        <w:t xml:space="preserve"> O</w:t>
      </w:r>
    </w:p>
    <w:p w:rsidR="007D3BDA" w:rsidRPr="005E4FF8" w:rsidRDefault="007D3BDA" w:rsidP="00E22833">
      <w:pPr>
        <w:spacing w:after="0" w:line="240" w:lineRule="auto"/>
        <w:jc w:val="center"/>
        <w:rPr>
          <w:rFonts w:ascii="Simplified Arabic Fixed" w:eastAsia="Times New Roman" w:hAnsi="Simplified Arabic Fixed" w:cs="Simplified Arabic Fixed"/>
          <w:b/>
          <w:bCs/>
          <w:lang w:eastAsia="es-ES"/>
        </w:rPr>
      </w:pPr>
    </w:p>
    <w:p w:rsidR="00541BC1" w:rsidRPr="00541BC1" w:rsidRDefault="00541BC1" w:rsidP="001E3AB9">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lang w:eastAsia="es-ES"/>
        </w:rPr>
        <w:t xml:space="preserve">Mediante oficio número DGDHEIS/DOCI/JDAGMT1124/2016 la </w:t>
      </w:r>
      <w:r w:rsidRPr="00541BC1">
        <w:rPr>
          <w:rFonts w:ascii="Simplified Arabic Fixed" w:eastAsia="Times New Roman" w:hAnsi="Simplified Arabic Fixed" w:cs="Simplified Arabic Fixed"/>
          <w:b/>
          <w:bCs/>
          <w:lang w:eastAsia="es-ES"/>
        </w:rPr>
        <w:t>JEFATURA DEL DEPARTAMENTO DE LA ADMINISTRACION DE MERCADOS Y TIANGUIS DEL H. AYUNTAMIENTO DE ATLIXCO</w:t>
      </w:r>
      <w:r>
        <w:rPr>
          <w:rFonts w:ascii="Simplified Arabic Fixed" w:eastAsia="Times New Roman" w:hAnsi="Simplified Arabic Fixed" w:cs="Simplified Arabic Fixed"/>
          <w:bCs/>
          <w:lang w:eastAsia="es-ES"/>
        </w:rPr>
        <w:t xml:space="preserve"> remitió a esta Sindicatura Municipal ocurso mediante el cual la C. </w:t>
      </w:r>
      <w:r w:rsidR="00420F9B">
        <w:rPr>
          <w:rFonts w:ascii="Simplified Arabic Fixed" w:eastAsia="Times New Roman" w:hAnsi="Simplified Arabic Fixed" w:cs="Simplified Arabic Fixed"/>
          <w:bCs/>
          <w:lang w:eastAsia="es-ES"/>
        </w:rPr>
        <w:t>*******************</w:t>
      </w:r>
      <w:r>
        <w:rPr>
          <w:rFonts w:ascii="Simplified Arabic Fixed" w:eastAsia="Times New Roman" w:hAnsi="Simplified Arabic Fixed" w:cs="Simplified Arabic Fixed"/>
          <w:bCs/>
          <w:lang w:eastAsia="es-ES"/>
        </w:rPr>
        <w:t xml:space="preserve"> formula recurso de inconformidad, así como el informe con justificación en términos del Artículo 259 de la Ley Orgánica Municipal del Estado de Puebla. - - - - - - - - - - - - - - - - - - - - - - - - - - - </w:t>
      </w:r>
    </w:p>
    <w:p w:rsidR="00541BC1" w:rsidRPr="00541BC1" w:rsidRDefault="00541BC1" w:rsidP="00541BC1">
      <w:pPr>
        <w:pStyle w:val="Prrafodelista"/>
        <w:spacing w:after="0" w:line="240" w:lineRule="auto"/>
        <w:ind w:left="360"/>
        <w:jc w:val="both"/>
        <w:rPr>
          <w:rFonts w:ascii="Simplified Arabic Fixed" w:eastAsia="Times New Roman" w:hAnsi="Simplified Arabic Fixed" w:cs="Simplified Arabic Fixed"/>
          <w:b/>
          <w:bCs/>
          <w:lang w:eastAsia="es-ES"/>
        </w:rPr>
      </w:pPr>
    </w:p>
    <w:p w:rsidR="00A45CDD" w:rsidRPr="00A45CDD" w:rsidRDefault="00152B52" w:rsidP="00A45CDD">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sidRPr="00AA566E">
        <w:rPr>
          <w:rFonts w:ascii="Simplified Arabic Fixed" w:eastAsia="Times New Roman" w:hAnsi="Simplified Arabic Fixed" w:cs="Simplified Arabic Fixed"/>
          <w:bCs/>
          <w:lang w:eastAsia="es-ES"/>
        </w:rPr>
        <w:t xml:space="preserve">Por auto de fecha </w:t>
      </w:r>
      <w:r w:rsidR="00A45CDD">
        <w:rPr>
          <w:rFonts w:ascii="Simplified Arabic Fixed" w:eastAsia="Times New Roman" w:hAnsi="Simplified Arabic Fixed" w:cs="Simplified Arabic Fixed"/>
          <w:bCs/>
          <w:lang w:eastAsia="es-ES"/>
        </w:rPr>
        <w:t>trece</w:t>
      </w:r>
      <w:r w:rsidRPr="00AA566E">
        <w:rPr>
          <w:rFonts w:ascii="Simplified Arabic Fixed" w:eastAsia="Times New Roman" w:hAnsi="Simplified Arabic Fixed" w:cs="Simplified Arabic Fixed"/>
          <w:bCs/>
          <w:lang w:eastAsia="es-ES"/>
        </w:rPr>
        <w:t xml:space="preserve"> de </w:t>
      </w:r>
      <w:r w:rsidR="00A45CDD">
        <w:rPr>
          <w:rFonts w:ascii="Simplified Arabic Fixed" w:eastAsia="Times New Roman" w:hAnsi="Simplified Arabic Fixed" w:cs="Simplified Arabic Fixed"/>
          <w:bCs/>
          <w:lang w:eastAsia="es-ES"/>
        </w:rPr>
        <w:t>diciembre</w:t>
      </w:r>
      <w:r w:rsidRPr="00AA566E">
        <w:rPr>
          <w:rFonts w:ascii="Simplified Arabic Fixed" w:eastAsia="Times New Roman" w:hAnsi="Simplified Arabic Fixed" w:cs="Simplified Arabic Fixed"/>
          <w:bCs/>
          <w:lang w:eastAsia="es-ES"/>
        </w:rPr>
        <w:t xml:space="preserve"> de dos mil </w:t>
      </w:r>
      <w:r w:rsidR="00AA566E">
        <w:rPr>
          <w:rFonts w:ascii="Simplified Arabic Fixed" w:eastAsia="Times New Roman" w:hAnsi="Simplified Arabic Fixed" w:cs="Simplified Arabic Fixed"/>
          <w:bCs/>
          <w:lang w:eastAsia="es-ES"/>
        </w:rPr>
        <w:t>dieciséis</w:t>
      </w:r>
      <w:r w:rsidRPr="00AA566E">
        <w:rPr>
          <w:rFonts w:ascii="Simplified Arabic Fixed" w:eastAsia="Times New Roman" w:hAnsi="Simplified Arabic Fixed" w:cs="Simplified Arabic Fixed"/>
          <w:bCs/>
          <w:lang w:eastAsia="es-ES"/>
        </w:rPr>
        <w:t xml:space="preserve">, </w:t>
      </w:r>
      <w:r w:rsidR="00AA566E">
        <w:rPr>
          <w:rFonts w:ascii="Simplified Arabic Fixed" w:eastAsia="Times New Roman" w:hAnsi="Simplified Arabic Fixed" w:cs="Simplified Arabic Fixed"/>
          <w:bCs/>
          <w:lang w:eastAsia="es-ES"/>
        </w:rPr>
        <w:t xml:space="preserve">se radico y </w:t>
      </w:r>
      <w:r w:rsidRPr="00AA566E">
        <w:rPr>
          <w:rFonts w:ascii="Simplified Arabic Fixed" w:eastAsia="Times New Roman" w:hAnsi="Simplified Arabic Fixed" w:cs="Simplified Arabic Fixed"/>
          <w:bCs/>
          <w:lang w:eastAsia="es-ES"/>
        </w:rPr>
        <w:t xml:space="preserve">admitió el </w:t>
      </w:r>
      <w:r w:rsidR="00B23D75" w:rsidRPr="00AA566E">
        <w:rPr>
          <w:rFonts w:ascii="Simplified Arabic Fixed" w:eastAsia="Times New Roman" w:hAnsi="Simplified Arabic Fixed" w:cs="Simplified Arabic Fixed"/>
          <w:bCs/>
          <w:lang w:eastAsia="es-ES"/>
        </w:rPr>
        <w:t>trámite</w:t>
      </w:r>
      <w:r w:rsidRPr="00AA566E">
        <w:rPr>
          <w:rFonts w:ascii="Simplified Arabic Fixed" w:eastAsia="Times New Roman" w:hAnsi="Simplified Arabic Fixed" w:cs="Simplified Arabic Fixed"/>
          <w:bCs/>
          <w:lang w:eastAsia="es-ES"/>
        </w:rPr>
        <w:t xml:space="preserve"> el recurso de inc</w:t>
      </w:r>
      <w:r w:rsidR="00A45CDD">
        <w:rPr>
          <w:rFonts w:ascii="Simplified Arabic Fixed" w:eastAsia="Times New Roman" w:hAnsi="Simplified Arabic Fixed" w:cs="Simplified Arabic Fixed"/>
          <w:bCs/>
          <w:lang w:eastAsia="es-ES"/>
        </w:rPr>
        <w:t>onformidad que ahora nos ocupa</w:t>
      </w:r>
      <w:r w:rsidRPr="00AA566E">
        <w:rPr>
          <w:rFonts w:ascii="Simplified Arabic Fixed" w:eastAsia="Times New Roman" w:hAnsi="Simplified Arabic Fixed" w:cs="Simplified Arabic Fixed"/>
          <w:bCs/>
          <w:lang w:eastAsia="es-ES"/>
        </w:rPr>
        <w:t xml:space="preserve">, se </w:t>
      </w:r>
      <w:r w:rsidR="00B23D75" w:rsidRPr="00AA566E">
        <w:rPr>
          <w:rFonts w:ascii="Simplified Arabic Fixed" w:eastAsia="Times New Roman" w:hAnsi="Simplified Arabic Fixed" w:cs="Simplified Arabic Fixed"/>
          <w:bCs/>
          <w:lang w:eastAsia="es-ES"/>
        </w:rPr>
        <w:t>señaló</w:t>
      </w:r>
      <w:r w:rsidRPr="00AA566E">
        <w:rPr>
          <w:rFonts w:ascii="Simplified Arabic Fixed" w:eastAsia="Times New Roman" w:hAnsi="Simplified Arabic Fixed" w:cs="Simplified Arabic Fixed"/>
          <w:bCs/>
          <w:lang w:eastAsia="es-ES"/>
        </w:rPr>
        <w:t xml:space="preserve"> </w:t>
      </w:r>
      <w:r w:rsidR="00B23D75" w:rsidRPr="00AA566E">
        <w:rPr>
          <w:rFonts w:ascii="Simplified Arabic Fixed" w:eastAsia="Times New Roman" w:hAnsi="Simplified Arabic Fixed" w:cs="Simplified Arabic Fixed"/>
          <w:bCs/>
          <w:lang w:eastAsia="es-ES"/>
        </w:rPr>
        <w:t>día</w:t>
      </w:r>
      <w:r w:rsidRPr="00AA566E">
        <w:rPr>
          <w:rFonts w:ascii="Simplified Arabic Fixed" w:eastAsia="Times New Roman" w:hAnsi="Simplified Arabic Fixed" w:cs="Simplified Arabic Fixed"/>
          <w:bCs/>
          <w:lang w:eastAsia="es-ES"/>
        </w:rPr>
        <w:t xml:space="preserve"> y hora para el desahogo de la audiencia de </w:t>
      </w:r>
      <w:r w:rsidR="00A45CDD">
        <w:rPr>
          <w:rFonts w:ascii="Simplified Arabic Fixed" w:eastAsia="Times New Roman" w:hAnsi="Simplified Arabic Fixed" w:cs="Simplified Arabic Fixed"/>
          <w:bCs/>
          <w:lang w:eastAsia="es-ES"/>
        </w:rPr>
        <w:t>ley y por último se concedió la suspensión del acto reclamado para efectos de que las cosas se mantengan en el estado en que se encontraban hasta la resolución que ahora nos ocupa.</w:t>
      </w:r>
      <w:r w:rsidR="00B23D75" w:rsidRPr="00AA566E">
        <w:rPr>
          <w:rFonts w:ascii="Simplified Arabic Fixed" w:eastAsia="Times New Roman" w:hAnsi="Simplified Arabic Fixed" w:cs="Simplified Arabic Fixed"/>
          <w:bCs/>
          <w:lang w:eastAsia="es-ES"/>
        </w:rPr>
        <w:t xml:space="preserve"> </w:t>
      </w:r>
      <w:r w:rsidR="00A45CDD">
        <w:rPr>
          <w:rFonts w:ascii="Simplified Arabic Fixed" w:eastAsia="Times New Roman" w:hAnsi="Simplified Arabic Fixed" w:cs="Simplified Arabic Fixed"/>
          <w:bCs/>
          <w:lang w:eastAsia="es-ES"/>
        </w:rPr>
        <w:t xml:space="preserve">- - - - - - </w:t>
      </w:r>
    </w:p>
    <w:p w:rsidR="00A45CDD" w:rsidRPr="00AA566E" w:rsidRDefault="00A45CDD" w:rsidP="00A45CDD">
      <w:pPr>
        <w:pStyle w:val="Prrafodelista"/>
        <w:spacing w:after="0" w:line="240" w:lineRule="auto"/>
        <w:ind w:left="360"/>
        <w:jc w:val="both"/>
        <w:rPr>
          <w:rFonts w:ascii="Simplified Arabic Fixed" w:eastAsia="Times New Roman" w:hAnsi="Simplified Arabic Fixed" w:cs="Simplified Arabic Fixed"/>
          <w:b/>
          <w:bCs/>
          <w:lang w:eastAsia="es-ES"/>
        </w:rPr>
      </w:pPr>
    </w:p>
    <w:p w:rsidR="00A45CDD" w:rsidRPr="00A45CDD" w:rsidRDefault="00B23D75" w:rsidP="00A45CDD">
      <w:pPr>
        <w:pStyle w:val="Prrafodelista"/>
        <w:numPr>
          <w:ilvl w:val="0"/>
          <w:numId w:val="8"/>
        </w:numPr>
        <w:jc w:val="both"/>
        <w:rPr>
          <w:rFonts w:ascii="Simplified Arabic Fixed" w:eastAsia="Times New Roman" w:hAnsi="Simplified Arabic Fixed" w:cs="Simplified Arabic Fixed"/>
          <w:bCs/>
          <w:lang w:eastAsia="es-ES"/>
        </w:rPr>
      </w:pPr>
      <w:r w:rsidRPr="00AA566E">
        <w:rPr>
          <w:rFonts w:ascii="Simplified Arabic Fixed" w:eastAsia="Times New Roman" w:hAnsi="Simplified Arabic Fixed" w:cs="Simplified Arabic Fixed"/>
          <w:bCs/>
          <w:lang w:eastAsia="es-ES"/>
        </w:rPr>
        <w:t xml:space="preserve">Con fecha </w:t>
      </w:r>
      <w:r w:rsidR="00A45CDD">
        <w:rPr>
          <w:rFonts w:ascii="Simplified Arabic Fixed" w:eastAsia="Times New Roman" w:hAnsi="Simplified Arabic Fixed" w:cs="Simplified Arabic Fixed"/>
          <w:bCs/>
          <w:lang w:eastAsia="es-ES"/>
        </w:rPr>
        <w:t>dieciocho</w:t>
      </w:r>
      <w:r w:rsidR="009F5541" w:rsidRPr="00AA566E">
        <w:rPr>
          <w:rFonts w:ascii="Simplified Arabic Fixed" w:eastAsia="Times New Roman" w:hAnsi="Simplified Arabic Fixed" w:cs="Simplified Arabic Fixed"/>
          <w:bCs/>
          <w:lang w:eastAsia="es-ES"/>
        </w:rPr>
        <w:t xml:space="preserve"> de </w:t>
      </w:r>
      <w:r w:rsidR="00A45CDD">
        <w:rPr>
          <w:rFonts w:ascii="Simplified Arabic Fixed" w:eastAsia="Times New Roman" w:hAnsi="Simplified Arabic Fixed" w:cs="Simplified Arabic Fixed"/>
          <w:bCs/>
          <w:lang w:eastAsia="es-ES"/>
        </w:rPr>
        <w:t>enero de los corrientes</w:t>
      </w:r>
      <w:r w:rsidR="009F5541" w:rsidRPr="00AA566E">
        <w:rPr>
          <w:rFonts w:ascii="Simplified Arabic Fixed" w:eastAsia="Times New Roman" w:hAnsi="Simplified Arabic Fixed" w:cs="Simplified Arabic Fixed"/>
          <w:bCs/>
          <w:lang w:eastAsia="es-ES"/>
        </w:rPr>
        <w:t xml:space="preserve"> tuvo a verificativo la audiencia de ley, </w:t>
      </w:r>
      <w:r w:rsidR="00A45CDD">
        <w:rPr>
          <w:rFonts w:ascii="Simplified Arabic Fixed" w:eastAsia="Times New Roman" w:hAnsi="Simplified Arabic Fixed" w:cs="Simplified Arabic Fixed"/>
          <w:bCs/>
          <w:lang w:eastAsia="es-ES"/>
        </w:rPr>
        <w:t xml:space="preserve">sin </w:t>
      </w:r>
      <w:r w:rsidR="009F5541" w:rsidRPr="00AA566E">
        <w:rPr>
          <w:rFonts w:ascii="Simplified Arabic Fixed" w:eastAsia="Times New Roman" w:hAnsi="Simplified Arabic Fixed" w:cs="Simplified Arabic Fixed"/>
          <w:bCs/>
          <w:lang w:eastAsia="es-ES"/>
        </w:rPr>
        <w:t>la compare</w:t>
      </w:r>
      <w:r w:rsidR="00E35DF8" w:rsidRPr="00AA566E">
        <w:rPr>
          <w:rFonts w:ascii="Simplified Arabic Fixed" w:eastAsia="Times New Roman" w:hAnsi="Simplified Arabic Fixed" w:cs="Simplified Arabic Fixed"/>
          <w:bCs/>
          <w:lang w:eastAsia="es-ES"/>
        </w:rPr>
        <w:t>cencia</w:t>
      </w:r>
      <w:r w:rsidR="00A45CDD">
        <w:rPr>
          <w:rFonts w:ascii="Simplified Arabic Fixed" w:eastAsia="Times New Roman" w:hAnsi="Simplified Arabic Fixed" w:cs="Simplified Arabic Fixed"/>
          <w:bCs/>
          <w:lang w:eastAsia="es-ES"/>
        </w:rPr>
        <w:t xml:space="preserve"> de las partes, a pesar de estar debidamente notificadas, se calificó el material probatorio y se tuvo a las partes sin formular alegaciones. - - </w:t>
      </w:r>
    </w:p>
    <w:p w:rsidR="00A45CDD" w:rsidRPr="00A45CDD" w:rsidRDefault="00A45CDD" w:rsidP="00A45CDD">
      <w:pPr>
        <w:pStyle w:val="Prrafodelista"/>
        <w:ind w:left="360"/>
        <w:jc w:val="both"/>
        <w:rPr>
          <w:rFonts w:ascii="Simplified Arabic Fixed" w:eastAsia="Times New Roman" w:hAnsi="Simplified Arabic Fixed" w:cs="Simplified Arabic Fixed"/>
          <w:bCs/>
          <w:lang w:eastAsia="es-ES"/>
        </w:rPr>
      </w:pPr>
    </w:p>
    <w:p w:rsidR="005D71F6" w:rsidRPr="00CE583C" w:rsidRDefault="00AA566E" w:rsidP="007F6C60">
      <w:pPr>
        <w:pStyle w:val="Prrafodelista"/>
        <w:numPr>
          <w:ilvl w:val="0"/>
          <w:numId w:val="8"/>
        </w:num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Cs/>
          <w:lang w:eastAsia="es-ES"/>
        </w:rPr>
        <w:t>Una vez que se ha desahogado el material probatorio ofrecido por las partes y al no existir incidencia que resolver</w:t>
      </w:r>
      <w:r w:rsidR="00273A49" w:rsidRPr="005E4FF8">
        <w:rPr>
          <w:rFonts w:ascii="Simplified Arabic Fixed" w:eastAsia="Times New Roman" w:hAnsi="Simplified Arabic Fixed" w:cs="Simplified Arabic Fixed"/>
          <w:bCs/>
          <w:lang w:eastAsia="es-ES"/>
        </w:rPr>
        <w:t>, se procede a dictar Resolución definitiva que hoy se pronuncia;</w:t>
      </w:r>
    </w:p>
    <w:p w:rsidR="00CE583C" w:rsidRPr="005E4FF8" w:rsidRDefault="00CE583C" w:rsidP="00CE583C">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1D478A" w:rsidRPr="005E4FF8" w:rsidRDefault="001D478A" w:rsidP="001D478A">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7F6C60" w:rsidRDefault="00A573C2" w:rsidP="00D84A9B">
      <w:pPr>
        <w:pStyle w:val="Prrafodelista"/>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C</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I</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R</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p>
    <w:p w:rsidR="00CE583C" w:rsidRPr="005E4FF8" w:rsidRDefault="00CE583C" w:rsidP="00D84A9B">
      <w:pPr>
        <w:pStyle w:val="Prrafodelista"/>
        <w:spacing w:after="0" w:line="240" w:lineRule="auto"/>
        <w:jc w:val="center"/>
        <w:rPr>
          <w:rFonts w:ascii="Simplified Arabic Fixed" w:eastAsia="Times New Roman" w:hAnsi="Simplified Arabic Fixed" w:cs="Simplified Arabic Fixed"/>
          <w:b/>
          <w:bCs/>
          <w:lang w:eastAsia="es-ES"/>
        </w:rPr>
      </w:pPr>
    </w:p>
    <w:p w:rsidR="001D478A" w:rsidRPr="005E4FF8" w:rsidRDefault="001D478A" w:rsidP="00D84A9B">
      <w:pPr>
        <w:pStyle w:val="Prrafodelista"/>
        <w:spacing w:after="0" w:line="240" w:lineRule="auto"/>
        <w:jc w:val="center"/>
        <w:rPr>
          <w:rFonts w:ascii="Simplified Arabic Fixed" w:eastAsia="Times New Roman" w:hAnsi="Simplified Arabic Fixed" w:cs="Simplified Arabic Fixed"/>
          <w:b/>
          <w:bCs/>
          <w:lang w:eastAsia="es-ES"/>
        </w:rPr>
      </w:pPr>
    </w:p>
    <w:p w:rsidR="00C30088" w:rsidRDefault="00DD1278" w:rsidP="009C7E30">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 xml:space="preserve">PRIMERO. Competencia. </w:t>
      </w:r>
      <w:r w:rsidR="00C30088" w:rsidRPr="005E4FF8">
        <w:rPr>
          <w:rFonts w:ascii="Simplified Arabic Fixed" w:eastAsia="Times New Roman" w:hAnsi="Simplified Arabic Fixed" w:cs="Simplified Arabic Fixed"/>
          <w:bCs/>
          <w:lang w:eastAsia="es-ES"/>
        </w:rPr>
        <w:t>Esta autoridad es competente para conocer y fallar dentro del presente recurso de inconformidad de conformidad con el artículo 100</w:t>
      </w:r>
      <w:bookmarkStart w:id="0" w:name="_GoBack"/>
      <w:bookmarkEnd w:id="0"/>
      <w:r w:rsidR="00C30088" w:rsidRPr="005E4FF8">
        <w:rPr>
          <w:rFonts w:ascii="Simplified Arabic Fixed" w:eastAsia="Times New Roman" w:hAnsi="Simplified Arabic Fixed" w:cs="Simplified Arabic Fixed"/>
          <w:bCs/>
          <w:lang w:eastAsia="es-ES"/>
        </w:rPr>
        <w:t xml:space="preserve"> y 253 de la Ley Orgánica Municipal del estado de </w:t>
      </w:r>
      <w:r w:rsidRPr="005E4FF8">
        <w:rPr>
          <w:rFonts w:ascii="Simplified Arabic Fixed" w:eastAsia="Times New Roman" w:hAnsi="Simplified Arabic Fixed" w:cs="Simplified Arabic Fixed"/>
          <w:bCs/>
          <w:lang w:eastAsia="es-ES"/>
        </w:rPr>
        <w:t>Puebla. ------------</w:t>
      </w:r>
      <w:r>
        <w:rPr>
          <w:rFonts w:ascii="Simplified Arabic Fixed" w:eastAsia="Times New Roman" w:hAnsi="Simplified Arabic Fixed" w:cs="Simplified Arabic Fixed"/>
          <w:bCs/>
          <w:lang w:eastAsia="es-ES"/>
        </w:rPr>
        <w:t>-----------------------------</w:t>
      </w:r>
      <w:r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w:t>
      </w:r>
    </w:p>
    <w:p w:rsidR="00CE583C" w:rsidRPr="005E4FF8" w:rsidRDefault="00CE583C" w:rsidP="009C7E30">
      <w:pPr>
        <w:spacing w:after="0" w:line="240" w:lineRule="auto"/>
        <w:ind w:firstLine="708"/>
        <w:jc w:val="both"/>
        <w:rPr>
          <w:rFonts w:ascii="Simplified Arabic Fixed" w:eastAsia="Times New Roman" w:hAnsi="Simplified Arabic Fixed" w:cs="Simplified Arabic Fixed"/>
          <w:b/>
          <w:bCs/>
          <w:lang w:eastAsia="es-ES"/>
        </w:rPr>
      </w:pPr>
    </w:p>
    <w:p w:rsidR="00C30088" w:rsidRPr="005E4FF8" w:rsidRDefault="00420F9B" w:rsidP="00C30088">
      <w:pPr>
        <w:spacing w:after="0" w:line="240" w:lineRule="auto"/>
        <w:jc w:val="both"/>
        <w:rPr>
          <w:rFonts w:ascii="Simplified Arabic Fixed" w:eastAsia="Times New Roman" w:hAnsi="Simplified Arabic Fixed" w:cs="Simplified Arabic Fixed"/>
          <w:b/>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simplePos x="0" y="0"/>
                <wp:positionH relativeFrom="margin">
                  <wp:posOffset>-123825</wp:posOffset>
                </wp:positionH>
                <wp:positionV relativeFrom="paragraph">
                  <wp:posOffset>256540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0F9B" w:rsidRDefault="002151BE" w:rsidP="00420F9B">
                            <w:pPr>
                              <w:jc w:val="both"/>
                              <w:rPr>
                                <w:color w:val="FFFFFF" w:themeColor="background1"/>
                                <w:sz w:val="20"/>
                              </w:rPr>
                            </w:pPr>
                            <w:r>
                              <w:rPr>
                                <w:color w:val="FFFFFF" w:themeColor="background1"/>
                                <w:sz w:val="20"/>
                              </w:rPr>
                              <w:t>ELIMINADO.  TRES</w:t>
                            </w:r>
                            <w:r w:rsidR="00420F9B">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9.75pt;margin-top:20.2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" fillcolor="black [3213]" strokeweight=".5pt">
                <v:textbox>
                  <w:txbxContent>
                    <w:p w:rsidR="00420F9B" w:rsidRDefault="002151BE" w:rsidP="00420F9B">
                      <w:pPr>
                        <w:jc w:val="both"/>
                        <w:rPr>
                          <w:color w:val="FFFFFF" w:themeColor="background1"/>
                          <w:sz w:val="20"/>
                        </w:rPr>
                      </w:pPr>
                      <w:r>
                        <w:rPr>
                          <w:color w:val="FFFFFF" w:themeColor="background1"/>
                          <w:sz w:val="20"/>
                        </w:rPr>
                        <w:t>ELIMINADO.  TRES</w:t>
                      </w:r>
                      <w:r w:rsidR="00420F9B">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p>
    <w:p w:rsidR="00C30088" w:rsidRDefault="00DD1278" w:rsidP="007233CA">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lastRenderedPageBreak/>
        <w:t>SEGUNDO.</w:t>
      </w:r>
      <w:r w:rsidR="007233CA">
        <w:rPr>
          <w:rFonts w:ascii="Simplified Arabic Fixed" w:eastAsia="Times New Roman" w:hAnsi="Simplified Arabic Fixed" w:cs="Simplified Arabic Fixed"/>
          <w:b/>
          <w:bCs/>
          <w:lang w:eastAsia="es-ES"/>
        </w:rPr>
        <w:t xml:space="preserve"> </w:t>
      </w:r>
      <w:r w:rsidR="009C7E30">
        <w:rPr>
          <w:rFonts w:ascii="Simplified Arabic Fixed" w:eastAsia="Times New Roman" w:hAnsi="Simplified Arabic Fixed" w:cs="Simplified Arabic Fixed"/>
          <w:b/>
          <w:bCs/>
          <w:lang w:eastAsia="es-ES"/>
        </w:rPr>
        <w:t xml:space="preserve">Precisión de los actos reclamados. </w:t>
      </w:r>
      <w:r w:rsidR="00C30088" w:rsidRPr="005E4FF8">
        <w:rPr>
          <w:rFonts w:ascii="Simplified Arabic Fixed" w:eastAsia="Times New Roman" w:hAnsi="Simplified Arabic Fixed" w:cs="Simplified Arabic Fixed"/>
          <w:bCs/>
          <w:lang w:eastAsia="es-ES"/>
        </w:rPr>
        <w:t xml:space="preserve">La resolución que ahora se dictara tratara de la acción deducida por </w:t>
      </w:r>
      <w:r w:rsidR="00A45CDD">
        <w:rPr>
          <w:rFonts w:ascii="Simplified Arabic Fixed" w:eastAsia="Times New Roman" w:hAnsi="Simplified Arabic Fixed" w:cs="Simplified Arabic Fixed"/>
          <w:bCs/>
          <w:lang w:eastAsia="es-ES"/>
        </w:rPr>
        <w:t>la ahora inconforme</w:t>
      </w:r>
      <w:r w:rsidR="00C30088" w:rsidRPr="005E4FF8">
        <w:rPr>
          <w:rFonts w:ascii="Simplified Arabic Fixed" w:eastAsia="Times New Roman" w:hAnsi="Simplified Arabic Fixed" w:cs="Simplified Arabic Fixed"/>
          <w:bCs/>
          <w:lang w:eastAsia="es-ES"/>
        </w:rPr>
        <w:t xml:space="preserve"> sob</w:t>
      </w:r>
      <w:r w:rsidR="001D478A" w:rsidRPr="005E4FF8">
        <w:rPr>
          <w:rFonts w:ascii="Simplified Arabic Fixed" w:eastAsia="Times New Roman" w:hAnsi="Simplified Arabic Fixed" w:cs="Simplified Arabic Fixed"/>
          <w:bCs/>
          <w:lang w:eastAsia="es-ES"/>
        </w:rPr>
        <w:t xml:space="preserve">re el actuar de la </w:t>
      </w:r>
      <w:r w:rsidR="007812DA" w:rsidRPr="007812DA">
        <w:rPr>
          <w:rFonts w:ascii="Simplified Arabic Fixed" w:eastAsia="Times New Roman" w:hAnsi="Simplified Arabic Fixed" w:cs="Simplified Arabic Fixed"/>
          <w:b/>
          <w:bCs/>
          <w:lang w:eastAsia="es-ES"/>
        </w:rPr>
        <w:t>JEFATURA DE LA ADMINISTRACION DE MERCADOS Y TIANGUIS DEL H. AYUNTAMIENTO DE ATLIXCO</w:t>
      </w:r>
      <w:r w:rsidR="001D478A"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 xml:space="preserve"> </w:t>
      </w:r>
      <w:r w:rsidR="001D478A"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w:t>
      </w:r>
    </w:p>
    <w:p w:rsidR="00CE583C" w:rsidRPr="007233CA" w:rsidRDefault="00CE583C" w:rsidP="007233CA">
      <w:pPr>
        <w:spacing w:after="0" w:line="240" w:lineRule="auto"/>
        <w:ind w:firstLine="708"/>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Default="00C30088" w:rsidP="009C7E30">
      <w:pPr>
        <w:spacing w:after="0" w:line="240" w:lineRule="auto"/>
        <w:ind w:firstLine="360"/>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Enseguida se procede a fijar en forma clara y precisa cual es el acto reclamado en el presente recurso de </w:t>
      </w:r>
      <w:r w:rsidR="009C7E30" w:rsidRPr="005E4FF8">
        <w:rPr>
          <w:rFonts w:ascii="Simplified Arabic Fixed" w:eastAsia="Times New Roman" w:hAnsi="Simplified Arabic Fixed" w:cs="Simplified Arabic Fixed"/>
          <w:bCs/>
          <w:lang w:eastAsia="es-ES"/>
        </w:rPr>
        <w:t>inconformidad, esto</w:t>
      </w:r>
      <w:r w:rsidRPr="005E4FF8">
        <w:rPr>
          <w:rFonts w:ascii="Simplified Arabic Fixed" w:eastAsia="Times New Roman" w:hAnsi="Simplified Arabic Fixed" w:cs="Simplified Arabic Fixed"/>
          <w:bCs/>
          <w:lang w:eastAsia="es-ES"/>
        </w:rPr>
        <w:t xml:space="preserve"> es así puesto que el pleno de la Suprema Corte de Justicia de la Nación estableció algunos lineamientos que el juzgador debe observar para establecer cuáles son los actos rec</w:t>
      </w:r>
      <w:r w:rsidR="009C7E30">
        <w:rPr>
          <w:rFonts w:ascii="Simplified Arabic Fixed" w:eastAsia="Times New Roman" w:hAnsi="Simplified Arabic Fixed" w:cs="Simplified Arabic Fixed"/>
          <w:bCs/>
          <w:lang w:eastAsia="es-ES"/>
        </w:rPr>
        <w:t>lamados, los cuales resultan en</w:t>
      </w:r>
      <w:r w:rsidRPr="005E4FF8">
        <w:rPr>
          <w:rFonts w:ascii="Simplified Arabic Fixed" w:eastAsia="Times New Roman" w:hAnsi="Simplified Arabic Fixed" w:cs="Simplified Arabic Fixed"/>
          <w:bCs/>
          <w:lang w:eastAsia="es-ES"/>
        </w:rPr>
        <w:t>:</w:t>
      </w:r>
    </w:p>
    <w:p w:rsidR="00CE583C" w:rsidRPr="005E4FF8" w:rsidRDefault="00CE583C" w:rsidP="009C7E30">
      <w:pPr>
        <w:spacing w:after="0" w:line="240" w:lineRule="auto"/>
        <w:ind w:firstLine="360"/>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30088" w:rsidRPr="00CE583C" w:rsidRDefault="00C30088" w:rsidP="00C30088">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Analizar en su integridad el escrito de impugnación, anexos, con un criterio de liberalidad y no restrictivo, sin cambiar su alcance y contenido.</w:t>
      </w:r>
    </w:p>
    <w:p w:rsidR="00CE583C" w:rsidRPr="005E4FF8" w:rsidRDefault="00CE583C" w:rsidP="00CE583C">
      <w:pPr>
        <w:spacing w:after="0" w:line="240" w:lineRule="auto"/>
        <w:ind w:left="1584"/>
        <w:jc w:val="both"/>
        <w:rPr>
          <w:rFonts w:ascii="Simplified Arabic Fixed" w:eastAsia="Times New Roman" w:hAnsi="Simplified Arabic Fixed" w:cs="Simplified Arabic Fixed"/>
          <w:b/>
          <w:bCs/>
          <w:lang w:eastAsia="es-ES"/>
        </w:rPr>
      </w:pPr>
    </w:p>
    <w:p w:rsidR="00C30088" w:rsidRPr="005E4FF8" w:rsidRDefault="00C30088" w:rsidP="00C30088">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Pr="005E4FF8" w:rsidRDefault="00C30088" w:rsidP="009C7E30">
      <w:pPr>
        <w:spacing w:after="0" w:line="240" w:lineRule="auto"/>
        <w:ind w:firstLine="708"/>
        <w:jc w:val="both"/>
        <w:rPr>
          <w:rFonts w:ascii="Simplified Arabic Fixed" w:eastAsia="Times New Roman" w:hAnsi="Simplified Arabic Fixed" w:cs="Simplified Arabic Fixed"/>
          <w:b/>
          <w:bCs/>
          <w:i/>
          <w:lang w:eastAsia="es-ES"/>
        </w:rPr>
      </w:pPr>
      <w:r w:rsidRPr="005E4FF8">
        <w:rPr>
          <w:rFonts w:ascii="Simplified Arabic Fixed" w:eastAsia="Times New Roman" w:hAnsi="Simplified Arabic Fixed" w:cs="Simplified Arabic Fixed"/>
          <w:bCs/>
          <w:lang w:eastAsia="es-ES"/>
        </w:rPr>
        <w:t xml:space="preserve">En apoyo a lo anterior cobra aplicación la siguiente tesis aislada </w:t>
      </w:r>
      <w:r w:rsidR="001D478A" w:rsidRPr="005E4FF8">
        <w:rPr>
          <w:rFonts w:ascii="Simplified Arabic Fixed" w:eastAsia="Times New Roman" w:hAnsi="Simplified Arabic Fixed" w:cs="Simplified Arabic Fixed"/>
          <w:bCs/>
          <w:lang w:eastAsia="es-ES"/>
        </w:rPr>
        <w:t>número</w:t>
      </w:r>
      <w:r w:rsidRPr="005E4FF8">
        <w:rPr>
          <w:rFonts w:ascii="Simplified Arabic Fixed" w:eastAsia="Times New Roman" w:hAnsi="Simplified Arabic Fixed" w:cs="Simplified Arabic Fixed"/>
          <w:bCs/>
          <w:lang w:eastAsia="es-ES"/>
        </w:rPr>
        <w:t xml:space="preserve"> P.VI/2004 visible en la pagina255, del tomo XIX, abril de 2004, novena época del Semanario Judicial de la Federación y su Gaceta de rubros: “</w:t>
      </w:r>
      <w:r w:rsidRPr="005E4FF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5E4FF8" w:rsidRDefault="00C30088" w:rsidP="00C30088">
      <w:pPr>
        <w:spacing w:after="0" w:line="240" w:lineRule="auto"/>
        <w:jc w:val="both"/>
        <w:rPr>
          <w:rFonts w:ascii="Simplified Arabic Fixed" w:eastAsia="Times New Roman" w:hAnsi="Simplified Arabic Fixed" w:cs="Simplified Arabic Fixed"/>
          <w:b/>
          <w:bCs/>
          <w:i/>
          <w:lang w:eastAsia="es-ES"/>
        </w:rPr>
      </w:pPr>
    </w:p>
    <w:p w:rsidR="00C30088" w:rsidRDefault="00C30088" w:rsidP="00C30088">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7233CA" w:rsidRPr="005E4FF8" w:rsidRDefault="007233CA"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A45CDD" w:rsidP="00C30088">
      <w:pPr>
        <w:numPr>
          <w:ilvl w:val="0"/>
          <w:numId w:val="21"/>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LA RESOLUCION DE FECHA CINCO DE DICIEMBRE DE DOS MIL DIECISEIS EXPEDIDA POR LA AUTORIDAD AHORA SEÑALADA COMO RESPONSABLE</w:t>
      </w:r>
      <w:r w:rsidR="009C7E30">
        <w:rPr>
          <w:rFonts w:ascii="Simplified Arabic Fixed" w:eastAsia="Times New Roman" w:hAnsi="Simplified Arabic Fixed" w:cs="Simplified Arabic Fixed"/>
          <w:bCs/>
          <w:lang w:eastAsia="es-ES"/>
        </w:rPr>
        <w:t xml:space="preserve">. </w:t>
      </w:r>
    </w:p>
    <w:p w:rsidR="00C30088" w:rsidRDefault="00C30088" w:rsidP="00C30088">
      <w:pPr>
        <w:spacing w:after="0" w:line="240" w:lineRule="auto"/>
        <w:jc w:val="both"/>
        <w:rPr>
          <w:rFonts w:ascii="Simplified Arabic Fixed" w:eastAsia="Times New Roman" w:hAnsi="Simplified Arabic Fixed" w:cs="Simplified Arabic Fixed"/>
          <w:bCs/>
          <w:lang w:eastAsia="es-ES"/>
        </w:rPr>
      </w:pPr>
    </w:p>
    <w:p w:rsidR="007233CA" w:rsidRPr="005E4FF8" w:rsidRDefault="007233CA"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7233CA" w:rsidP="007233CA">
      <w:pPr>
        <w:spacing w:after="0" w:line="240" w:lineRule="auto"/>
        <w:ind w:firstLine="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lang w:eastAsia="es-ES"/>
        </w:rPr>
        <w:t xml:space="preserve">TERCERO. </w:t>
      </w:r>
      <w:r w:rsidR="009C7E30">
        <w:rPr>
          <w:rFonts w:ascii="Simplified Arabic Fixed" w:eastAsia="Times New Roman" w:hAnsi="Simplified Arabic Fixed" w:cs="Simplified Arabic Fixed"/>
          <w:b/>
          <w:bCs/>
          <w:lang w:eastAsia="es-ES"/>
        </w:rPr>
        <w:t xml:space="preserve">Certeza de actos. </w:t>
      </w:r>
      <w:r w:rsidR="00C30088" w:rsidRPr="005E4FF8">
        <w:rPr>
          <w:rFonts w:ascii="Simplified Arabic Fixed" w:eastAsia="Times New Roman" w:hAnsi="Simplified Arabic Fixed" w:cs="Simplified Arabic Fixed"/>
          <w:bCs/>
          <w:lang w:eastAsia="es-ES"/>
        </w:rPr>
        <w:t xml:space="preserve">Una vez precisado el acto reclamado, por cuestión de técnica se </w:t>
      </w:r>
      <w:r w:rsidR="009C7E30" w:rsidRPr="005E4FF8">
        <w:rPr>
          <w:rFonts w:ascii="Simplified Arabic Fixed" w:eastAsia="Times New Roman" w:hAnsi="Simplified Arabic Fixed" w:cs="Simplified Arabic Fixed"/>
          <w:bCs/>
          <w:lang w:eastAsia="es-ES"/>
        </w:rPr>
        <w:t>analizará</w:t>
      </w:r>
      <w:r w:rsidR="00C30088" w:rsidRPr="005E4FF8">
        <w:rPr>
          <w:rFonts w:ascii="Simplified Arabic Fixed" w:eastAsia="Times New Roman" w:hAnsi="Simplified Arabic Fixed" w:cs="Simplified Arabic Fixed"/>
          <w:bCs/>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5E4FF8">
        <w:rPr>
          <w:rFonts w:ascii="Simplified Arabic Fixed" w:eastAsia="Times New Roman" w:hAnsi="Simplified Arabic Fixed" w:cs="Simplified Arabic Fixed"/>
          <w:b/>
          <w:bCs/>
          <w:i/>
          <w:lang w:eastAsia="es-ES"/>
        </w:rPr>
        <w:t>“SENTENCIAS DE AMPARO, PRELACION LOGICA DE SUS CONSIDERANDOS”.</w:t>
      </w:r>
    </w:p>
    <w:p w:rsidR="00C30088" w:rsidRDefault="00C30088" w:rsidP="00C30088">
      <w:pPr>
        <w:spacing w:after="0" w:line="240" w:lineRule="auto"/>
        <w:jc w:val="both"/>
        <w:rPr>
          <w:rFonts w:ascii="Simplified Arabic Fixed" w:eastAsia="Times New Roman" w:hAnsi="Simplified Arabic Fixed" w:cs="Simplified Arabic Fixed"/>
          <w:b/>
          <w:bCs/>
          <w:i/>
          <w:lang w:eastAsia="es-ES"/>
        </w:rPr>
      </w:pPr>
    </w:p>
    <w:p w:rsidR="007233CA" w:rsidRPr="005E4FF8" w:rsidRDefault="007233CA" w:rsidP="00C30088">
      <w:pPr>
        <w:spacing w:after="0" w:line="240" w:lineRule="auto"/>
        <w:jc w:val="both"/>
        <w:rPr>
          <w:rFonts w:ascii="Simplified Arabic Fixed" w:eastAsia="Times New Roman" w:hAnsi="Simplified Arabic Fixed" w:cs="Simplified Arabic Fixed"/>
          <w:b/>
          <w:bCs/>
          <w:i/>
          <w:lang w:eastAsia="es-ES"/>
        </w:rPr>
      </w:pPr>
    </w:p>
    <w:p w:rsidR="00F15F01" w:rsidRDefault="00305D56" w:rsidP="00C30088">
      <w:pPr>
        <w:numPr>
          <w:ilvl w:val="0"/>
          <w:numId w:val="10"/>
        </w:num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La </w:t>
      </w:r>
      <w:r w:rsidR="007C2B1C" w:rsidRPr="007C2B1C">
        <w:rPr>
          <w:rFonts w:ascii="Simplified Arabic Fixed" w:eastAsia="Times New Roman" w:hAnsi="Simplified Arabic Fixed" w:cs="Simplified Arabic Fixed"/>
          <w:b/>
          <w:bCs/>
          <w:lang w:eastAsia="es-ES"/>
        </w:rPr>
        <w:t>JEFATURA DE LA ADMINISTRACION DE MERCADOS Y TIANGUIS DEL H. AYUNTAMIENTO DE ATLIXCO</w:t>
      </w:r>
      <w:r w:rsidR="00C30088" w:rsidRPr="005E4FF8">
        <w:rPr>
          <w:rFonts w:ascii="Simplified Arabic Fixed" w:eastAsia="Times New Roman" w:hAnsi="Simplified Arabic Fixed" w:cs="Simplified Arabic Fixed"/>
          <w:bCs/>
          <w:lang w:eastAsia="es-ES"/>
        </w:rPr>
        <w:t xml:space="preserve">, </w:t>
      </w:r>
      <w:r w:rsidR="007C2B1C">
        <w:rPr>
          <w:rFonts w:ascii="Simplified Arabic Fixed" w:eastAsia="Times New Roman" w:hAnsi="Simplified Arabic Fixed" w:cs="Simplified Arabic Fixed"/>
          <w:bCs/>
          <w:lang w:eastAsia="es-ES"/>
        </w:rPr>
        <w:t>al rendir</w:t>
      </w:r>
      <w:r w:rsidR="00C30088" w:rsidRPr="005E4FF8">
        <w:rPr>
          <w:rFonts w:ascii="Simplified Arabic Fixed" w:eastAsia="Times New Roman" w:hAnsi="Simplified Arabic Fixed" w:cs="Simplified Arabic Fixed"/>
          <w:bCs/>
          <w:lang w:eastAsia="es-ES"/>
        </w:rPr>
        <w:t xml:space="preserve"> el informe </w:t>
      </w:r>
      <w:r w:rsidR="007C2B1C">
        <w:rPr>
          <w:rFonts w:ascii="Simplified Arabic Fixed" w:eastAsia="Times New Roman" w:hAnsi="Simplified Arabic Fixed" w:cs="Simplified Arabic Fixed"/>
          <w:bCs/>
          <w:lang w:eastAsia="es-ES"/>
        </w:rPr>
        <w:t xml:space="preserve">en términos del Artículo 259 </w:t>
      </w:r>
      <w:r w:rsidR="007C2B1C" w:rsidRPr="005E4FF8">
        <w:rPr>
          <w:rFonts w:ascii="Simplified Arabic Fixed" w:eastAsia="Times New Roman" w:hAnsi="Simplified Arabic Fixed" w:cs="Simplified Arabic Fixed"/>
          <w:bCs/>
          <w:lang w:eastAsia="es-ES"/>
        </w:rPr>
        <w:t>Ley Orgánica Municipal</w:t>
      </w:r>
      <w:r w:rsidR="007C2B1C">
        <w:rPr>
          <w:rFonts w:ascii="Simplified Arabic Fixed" w:eastAsia="Times New Roman" w:hAnsi="Simplified Arabic Fixed" w:cs="Simplified Arabic Fixed"/>
          <w:bCs/>
          <w:lang w:eastAsia="es-ES"/>
        </w:rPr>
        <w:t xml:space="preserve"> </w:t>
      </w:r>
      <w:r w:rsidR="00F15F01" w:rsidRPr="00F15F01">
        <w:rPr>
          <w:rFonts w:ascii="Simplified Arabic Fixed" w:eastAsia="Times New Roman" w:hAnsi="Simplified Arabic Fixed" w:cs="Simplified Arabic Fixed"/>
          <w:b/>
          <w:bCs/>
          <w:lang w:eastAsia="es-ES"/>
        </w:rPr>
        <w:t xml:space="preserve">MANIFESTÓ LA EXISTENCIA DEL ACTO RECLAMADO Y ADJUNTO LAS CONSTANCIAS QUE SUSTENTABAN </w:t>
      </w:r>
      <w:r w:rsidR="007C2B1C">
        <w:rPr>
          <w:rFonts w:ascii="Simplified Arabic Fixed" w:eastAsia="Times New Roman" w:hAnsi="Simplified Arabic Fixed" w:cs="Simplified Arabic Fixed"/>
          <w:b/>
          <w:bCs/>
          <w:lang w:eastAsia="es-ES"/>
        </w:rPr>
        <w:t xml:space="preserve"> LA CONSTITUCIONALIDAD </w:t>
      </w:r>
      <w:r w:rsidR="00F15F01" w:rsidRPr="00F15F01">
        <w:rPr>
          <w:rFonts w:ascii="Simplified Arabic Fixed" w:eastAsia="Times New Roman" w:hAnsi="Simplified Arabic Fixed" w:cs="Simplified Arabic Fixed"/>
          <w:b/>
          <w:bCs/>
          <w:lang w:eastAsia="es-ES"/>
        </w:rPr>
        <w:t>EL MISMO</w:t>
      </w:r>
      <w:r w:rsidR="00C30088" w:rsidRPr="005E4FF8">
        <w:rPr>
          <w:rFonts w:ascii="Simplified Arabic Fixed" w:eastAsia="Times New Roman" w:hAnsi="Simplified Arabic Fixed" w:cs="Simplified Arabic Fixed"/>
          <w:bCs/>
          <w:lang w:eastAsia="es-ES"/>
        </w:rPr>
        <w:t xml:space="preserve">, </w:t>
      </w:r>
      <w:r w:rsidRPr="005E4FF8">
        <w:rPr>
          <w:rFonts w:ascii="Simplified Arabic Fixed" w:eastAsia="Times New Roman" w:hAnsi="Simplified Arabic Fixed" w:cs="Simplified Arabic Fixed"/>
          <w:bCs/>
          <w:lang w:eastAsia="es-ES"/>
        </w:rPr>
        <w:t>dicho informe tiene</w:t>
      </w:r>
      <w:r w:rsidR="00C30088" w:rsidRPr="005E4FF8">
        <w:rPr>
          <w:rFonts w:ascii="Simplified Arabic Fixed" w:eastAsia="Times New Roman" w:hAnsi="Simplified Arabic Fixed" w:cs="Simplified Arabic Fixed"/>
          <w:bCs/>
          <w:lang w:eastAsia="es-ES"/>
        </w:rPr>
        <w:t xml:space="preserve"> valor probatorio pleno en términos del artículo 335 del Código de Procedimientos Civiles aplicado de manera supletoria al presente procedimiento en términos de los numerales 252 de la Ley </w:t>
      </w:r>
      <w:r w:rsidR="007C2B1C">
        <w:rPr>
          <w:rFonts w:ascii="Simplified Arabic Fixed" w:eastAsia="Times New Roman" w:hAnsi="Simplified Arabic Fixed" w:cs="Simplified Arabic Fixed"/>
          <w:bCs/>
          <w:lang w:eastAsia="es-ES"/>
        </w:rPr>
        <w:t>citada en primer término</w:t>
      </w:r>
      <w:r w:rsidR="00C30088" w:rsidRPr="005E4FF8">
        <w:rPr>
          <w:rFonts w:ascii="Simplified Arabic Fixed" w:eastAsia="Times New Roman" w:hAnsi="Simplified Arabic Fixed" w:cs="Simplified Arabic Fixed"/>
          <w:bCs/>
          <w:lang w:eastAsia="es-ES"/>
        </w:rPr>
        <w:t xml:space="preserve">.  </w:t>
      </w:r>
    </w:p>
    <w:p w:rsidR="007233CA" w:rsidRDefault="007233CA" w:rsidP="00CE583C">
      <w:pPr>
        <w:spacing w:after="0" w:line="240" w:lineRule="auto"/>
        <w:jc w:val="both"/>
        <w:rPr>
          <w:rFonts w:ascii="Simplified Arabic Fixed" w:eastAsia="Times New Roman" w:hAnsi="Simplified Arabic Fixed" w:cs="Simplified Arabic Fixed"/>
          <w:b/>
          <w:bCs/>
          <w:lang w:eastAsia="es-ES"/>
        </w:rPr>
      </w:pPr>
    </w:p>
    <w:p w:rsidR="00727FCE" w:rsidRPr="00727FCE" w:rsidRDefault="007233CA" w:rsidP="00F15F01">
      <w:pPr>
        <w:spacing w:after="0" w:line="240" w:lineRule="auto"/>
        <w:ind w:firstLine="360"/>
        <w:jc w:val="both"/>
        <w:rPr>
          <w:rFonts w:ascii="Simplified Arabic Fixed" w:eastAsia="Times New Roman" w:hAnsi="Simplified Arabic Fixed" w:cs="Simplified Arabic Fixed"/>
          <w:bCs/>
          <w:lang w:eastAsia="es-ES"/>
        </w:rPr>
      </w:pPr>
      <w:r w:rsidRPr="007233CA">
        <w:rPr>
          <w:rFonts w:ascii="Simplified Arabic Fixed" w:eastAsia="Times New Roman" w:hAnsi="Simplified Arabic Fixed" w:cs="Simplified Arabic Fixed"/>
          <w:b/>
          <w:bCs/>
          <w:lang w:eastAsia="es-ES"/>
        </w:rPr>
        <w:t>CUARTO.</w:t>
      </w:r>
      <w:r w:rsidR="00F15F01">
        <w:rPr>
          <w:rFonts w:ascii="Simplified Arabic Fixed" w:eastAsia="Times New Roman" w:hAnsi="Simplified Arabic Fixed" w:cs="Simplified Arabic Fixed"/>
          <w:b/>
          <w:bCs/>
          <w:lang w:eastAsia="es-ES"/>
        </w:rPr>
        <w:t xml:space="preserve"> </w:t>
      </w:r>
      <w:r w:rsidR="00F15F01" w:rsidRPr="00727FCE">
        <w:rPr>
          <w:rFonts w:ascii="Simplified Arabic Fixed" w:eastAsia="Times New Roman" w:hAnsi="Simplified Arabic Fixed" w:cs="Simplified Arabic Fixed"/>
          <w:b/>
          <w:bCs/>
          <w:lang w:eastAsia="es-ES"/>
        </w:rPr>
        <w:t xml:space="preserve">Improcedencia del </w:t>
      </w:r>
      <w:r w:rsidR="00727FCE">
        <w:rPr>
          <w:rFonts w:ascii="Simplified Arabic Fixed" w:eastAsia="Times New Roman" w:hAnsi="Simplified Arabic Fixed" w:cs="Simplified Arabic Fixed"/>
          <w:b/>
          <w:bCs/>
          <w:lang w:eastAsia="es-ES"/>
        </w:rPr>
        <w:t>recurso</w:t>
      </w:r>
      <w:r w:rsidR="00F15F01" w:rsidRPr="00727FCE">
        <w:rPr>
          <w:rFonts w:ascii="Simplified Arabic Fixed" w:eastAsia="Times New Roman" w:hAnsi="Simplified Arabic Fixed" w:cs="Simplified Arabic Fixed"/>
          <w:bCs/>
          <w:lang w:eastAsia="es-ES"/>
        </w:rPr>
        <w:t xml:space="preserve">. </w:t>
      </w:r>
      <w:r w:rsidR="00727FCE" w:rsidRPr="00727FCE">
        <w:rPr>
          <w:rFonts w:ascii="Simplified Arabic Fixed" w:eastAsia="Times New Roman" w:hAnsi="Simplified Arabic Fixed" w:cs="Simplified Arabic Fixed"/>
          <w:bCs/>
          <w:lang w:eastAsia="es-ES"/>
        </w:rPr>
        <w:t>Dado que en la especie las partes no hicieron valer causa de improcedencia, ni se advierte alguna que analizar de oficio, procede al estudio del fondo del acto reclamado.</w:t>
      </w:r>
    </w:p>
    <w:p w:rsidR="00727FCE" w:rsidRDefault="00727FCE" w:rsidP="00F15F01">
      <w:pPr>
        <w:spacing w:after="0" w:line="240" w:lineRule="auto"/>
        <w:ind w:firstLine="360"/>
        <w:jc w:val="both"/>
        <w:rPr>
          <w:rFonts w:ascii="Simplified Arabic Fixed" w:eastAsia="Times New Roman" w:hAnsi="Simplified Arabic Fixed" w:cs="Simplified Arabic Fixed"/>
          <w:b/>
          <w:bCs/>
          <w:lang w:eastAsia="es-ES"/>
        </w:rPr>
      </w:pP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 xml:space="preserve">QUINTO. Fondo del asunto. </w:t>
      </w:r>
      <w:r w:rsidRPr="00727FCE">
        <w:rPr>
          <w:rFonts w:ascii="Simplified Arabic Fixed" w:eastAsia="Times New Roman" w:hAnsi="Simplified Arabic Fixed" w:cs="Simplified Arabic Fixed"/>
          <w:bCs/>
          <w:lang w:eastAsia="es-ES"/>
        </w:rPr>
        <w:t>En términos del artículo 272 de la Ley Orgánica Municipal esta autoridad provee en relación a los agravio</w:t>
      </w:r>
      <w:r>
        <w:rPr>
          <w:rFonts w:ascii="Simplified Arabic Fixed" w:eastAsia="Times New Roman" w:hAnsi="Simplified Arabic Fixed" w:cs="Simplified Arabic Fixed"/>
          <w:bCs/>
          <w:lang w:eastAsia="es-ES"/>
        </w:rPr>
        <w:t xml:space="preserve">s hechos valer </w:t>
      </w:r>
      <w:r w:rsidR="00CA599B">
        <w:rPr>
          <w:rFonts w:ascii="Simplified Arabic Fixed" w:eastAsia="Times New Roman" w:hAnsi="Simplified Arabic Fixed" w:cs="Simplified Arabic Fixed"/>
          <w:bCs/>
          <w:lang w:eastAsia="es-ES"/>
        </w:rPr>
        <w:t>el</w:t>
      </w:r>
      <w:r>
        <w:rPr>
          <w:rFonts w:ascii="Simplified Arabic Fixed" w:eastAsia="Times New Roman" w:hAnsi="Simplified Arabic Fixed" w:cs="Simplified Arabic Fixed"/>
          <w:bCs/>
          <w:lang w:eastAsia="es-ES"/>
        </w:rPr>
        <w:t xml:space="preserve"> recurrente, los cuales esta autoridad proveerá de ellos en conjunto, puesto que el argumento resulta ser el mismo en cada uno de los escritos de inconformidad.</w:t>
      </w: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p>
    <w:p w:rsidR="00727FCE" w:rsidRDefault="00727FCE" w:rsidP="00C61FBD">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Respecto del agravio</w:t>
      </w:r>
      <w:r w:rsidR="00CA599B">
        <w:rPr>
          <w:rFonts w:ascii="Simplified Arabic Fixed" w:eastAsia="Times New Roman" w:hAnsi="Simplified Arabic Fixed" w:cs="Simplified Arabic Fixed"/>
          <w:bCs/>
          <w:lang w:eastAsia="es-ES"/>
        </w:rPr>
        <w:t xml:space="preserve"> único aducido por la recurrente </w:t>
      </w:r>
      <w:r w:rsidR="00331E35">
        <w:rPr>
          <w:rFonts w:ascii="Simplified Arabic Fixed" w:eastAsia="Times New Roman" w:hAnsi="Simplified Arabic Fixed" w:cs="Simplified Arabic Fixed"/>
          <w:bCs/>
          <w:lang w:eastAsia="es-ES"/>
        </w:rPr>
        <w:t>resulta infundado</w:t>
      </w:r>
      <w:r>
        <w:rPr>
          <w:rFonts w:ascii="Simplified Arabic Fixed" w:eastAsia="Times New Roman" w:hAnsi="Simplified Arabic Fixed" w:cs="Simplified Arabic Fixed"/>
          <w:bCs/>
          <w:lang w:eastAsia="es-ES"/>
        </w:rPr>
        <w:t xml:space="preserve"> puesto que </w:t>
      </w:r>
      <w:r w:rsidR="00CA599B">
        <w:rPr>
          <w:rFonts w:ascii="Simplified Arabic Fixed" w:eastAsia="Times New Roman" w:hAnsi="Simplified Arabic Fixed" w:cs="Simplified Arabic Fixed"/>
          <w:bCs/>
          <w:lang w:eastAsia="es-ES"/>
        </w:rPr>
        <w:t>basa</w:t>
      </w:r>
      <w:r>
        <w:rPr>
          <w:rFonts w:ascii="Simplified Arabic Fixed" w:eastAsia="Times New Roman" w:hAnsi="Simplified Arabic Fixed" w:cs="Simplified Arabic Fixed"/>
          <w:bCs/>
          <w:lang w:eastAsia="es-ES"/>
        </w:rPr>
        <w:t xml:space="preserve"> su dicho en meras afirmaciones sin que para tal efecto realicen un razonamiento lógico jurídico que oriente a esta autoridad a determinar la supuesta inconstitucionalidad del acto reclamado, ya que </w:t>
      </w:r>
      <w:r w:rsidR="00CA599B">
        <w:rPr>
          <w:rFonts w:ascii="Simplified Arabic Fixed" w:eastAsia="Times New Roman" w:hAnsi="Simplified Arabic Fixed" w:cs="Simplified Arabic Fixed"/>
          <w:bCs/>
          <w:lang w:eastAsia="es-ES"/>
        </w:rPr>
        <w:t>la quejosa</w:t>
      </w:r>
      <w:r>
        <w:rPr>
          <w:rFonts w:ascii="Simplified Arabic Fixed" w:eastAsia="Times New Roman" w:hAnsi="Simplified Arabic Fixed" w:cs="Simplified Arabic Fixed"/>
          <w:bCs/>
          <w:lang w:eastAsia="es-ES"/>
        </w:rPr>
        <w:t xml:space="preserve"> </w:t>
      </w:r>
      <w:r w:rsidR="00CA599B">
        <w:rPr>
          <w:rFonts w:ascii="Simplified Arabic Fixed" w:eastAsia="Times New Roman" w:hAnsi="Simplified Arabic Fixed" w:cs="Simplified Arabic Fixed"/>
          <w:bCs/>
          <w:lang w:eastAsia="es-ES"/>
        </w:rPr>
        <w:t>expresa</w:t>
      </w:r>
      <w:r>
        <w:rPr>
          <w:rFonts w:ascii="Simplified Arabic Fixed" w:eastAsia="Times New Roman" w:hAnsi="Simplified Arabic Fixed" w:cs="Simplified Arabic Fixed"/>
          <w:bCs/>
          <w:lang w:eastAsia="es-ES"/>
        </w:rPr>
        <w:t xml:space="preserve"> que </w:t>
      </w:r>
      <w:r w:rsidRPr="00727FCE">
        <w:rPr>
          <w:rFonts w:ascii="Simplified Arabic Fixed" w:eastAsia="Times New Roman" w:hAnsi="Simplified Arabic Fixed" w:cs="Simplified Arabic Fixed"/>
          <w:bCs/>
          <w:u w:val="single"/>
          <w:lang w:eastAsia="es-ES"/>
        </w:rPr>
        <w:t>“</w:t>
      </w:r>
      <w:r w:rsidR="00CA599B">
        <w:rPr>
          <w:rFonts w:ascii="Simplified Arabic Fixed" w:eastAsia="Times New Roman" w:hAnsi="Simplified Arabic Fixed" w:cs="Simplified Arabic Fixed"/>
          <w:bCs/>
          <w:u w:val="single"/>
          <w:lang w:eastAsia="es-ES"/>
        </w:rPr>
        <w:t xml:space="preserve">el acto reclamado se encuentra viciado de nulidad, por no haberse respetado las formalidades a la ley del procedimiento a la materia, así como que el mismo violenta las garantías consagradas en los artículos 1, 14, 16 y 17 de la Constitución Política de los Estados Unidos Mexicanos” </w:t>
      </w:r>
      <w:r w:rsidR="00CA599B">
        <w:rPr>
          <w:rFonts w:ascii="Simplified Arabic Fixed" w:eastAsia="Times New Roman" w:hAnsi="Simplified Arabic Fixed" w:cs="Simplified Arabic Fixed"/>
          <w:bCs/>
          <w:lang w:eastAsia="es-ES"/>
        </w:rPr>
        <w:t xml:space="preserve">pretendiendo establecer que el acto reclamado violenta el derecho al trabajo, </w:t>
      </w:r>
      <w:r w:rsidR="00331E35">
        <w:rPr>
          <w:rFonts w:ascii="Simplified Arabic Fixed" w:eastAsia="Times New Roman" w:hAnsi="Simplified Arabic Fixed" w:cs="Simplified Arabic Fixed"/>
          <w:bCs/>
          <w:lang w:eastAsia="es-ES"/>
        </w:rPr>
        <w:t>lo anterior resulta errado puesto que de las constancias que obran en el informe rendido por la autoridad señalada como responsable en específico la constancia del acto reclamado (</w:t>
      </w:r>
      <w:r w:rsidR="00C61FBD">
        <w:rPr>
          <w:rFonts w:ascii="Simplified Arabic Fixed" w:eastAsia="Times New Roman" w:hAnsi="Simplified Arabic Fixed" w:cs="Simplified Arabic Fixed"/>
          <w:bCs/>
          <w:lang w:eastAsia="es-ES"/>
        </w:rPr>
        <w:t>OFICIO NUMERO DGDHEIS/DOCI/JDAGMT1118/2016 de fecha cinco de diciembre de dos mil dieciséis</w:t>
      </w:r>
      <w:r w:rsidR="00331E35">
        <w:rPr>
          <w:rFonts w:ascii="Simplified Arabic Fixed" w:eastAsia="Times New Roman" w:hAnsi="Simplified Arabic Fixed" w:cs="Simplified Arabic Fixed"/>
          <w:bCs/>
          <w:lang w:eastAsia="es-ES"/>
        </w:rPr>
        <w:t xml:space="preserve"> de los de la </w:t>
      </w:r>
      <w:r w:rsidR="00331E35" w:rsidRPr="007C2B1C">
        <w:rPr>
          <w:rFonts w:ascii="Simplified Arabic Fixed" w:eastAsia="Times New Roman" w:hAnsi="Simplified Arabic Fixed" w:cs="Simplified Arabic Fixed"/>
          <w:b/>
          <w:bCs/>
          <w:lang w:eastAsia="es-ES"/>
        </w:rPr>
        <w:t>JEFATURA DE LA ADMINISTRACION DE MERCADOS Y TIANGUIS DEL H. AYUNTAMIENTO DE ATLIXCO</w:t>
      </w:r>
      <w:r w:rsidR="00331E35">
        <w:rPr>
          <w:rFonts w:ascii="Simplified Arabic Fixed" w:eastAsia="Times New Roman" w:hAnsi="Simplified Arabic Fixed" w:cs="Simplified Arabic Fixed"/>
          <w:b/>
          <w:bCs/>
          <w:lang w:eastAsia="es-ES"/>
        </w:rPr>
        <w:t>)</w:t>
      </w:r>
      <w:r w:rsidR="00331E35">
        <w:rPr>
          <w:rFonts w:ascii="Simplified Arabic Fixed" w:eastAsia="Times New Roman" w:hAnsi="Simplified Arabic Fixed" w:cs="Simplified Arabic Fixed"/>
          <w:bCs/>
          <w:lang w:eastAsia="es-ES"/>
        </w:rPr>
        <w:t xml:space="preserve">, se prevé que el mismo se encuentra debidamente fundado </w:t>
      </w:r>
      <w:r w:rsidR="00657037">
        <w:rPr>
          <w:rFonts w:ascii="Simplified Arabic Fixed" w:eastAsia="Times New Roman" w:hAnsi="Simplified Arabic Fixed" w:cs="Simplified Arabic Fixed"/>
          <w:bCs/>
          <w:lang w:eastAsia="es-ES"/>
        </w:rPr>
        <w:t xml:space="preserve">1, 14, 16, </w:t>
      </w:r>
      <w:r w:rsidR="00C61FBD">
        <w:rPr>
          <w:rFonts w:ascii="Simplified Arabic Fixed" w:eastAsia="Times New Roman" w:hAnsi="Simplified Arabic Fixed" w:cs="Simplified Arabic Fixed"/>
          <w:bCs/>
          <w:lang w:eastAsia="es-ES"/>
        </w:rPr>
        <w:t xml:space="preserve">y 18 </w:t>
      </w:r>
      <w:r w:rsidR="00657037">
        <w:rPr>
          <w:rFonts w:ascii="Simplified Arabic Fixed" w:eastAsia="Times New Roman" w:hAnsi="Simplified Arabic Fixed" w:cs="Simplified Arabic Fixed"/>
          <w:bCs/>
          <w:lang w:eastAsia="es-ES"/>
        </w:rPr>
        <w:t xml:space="preserve">del Reglamento de Mercados Tianguis, Centrales de Abasto o de Acopio y Comercio en Vía </w:t>
      </w:r>
      <w:r w:rsidR="00CA599B">
        <w:rPr>
          <w:rFonts w:ascii="Simplified Arabic Fixed" w:eastAsia="Times New Roman" w:hAnsi="Simplified Arabic Fixed" w:cs="Simplified Arabic Fixed"/>
          <w:bCs/>
          <w:lang w:eastAsia="es-ES"/>
        </w:rPr>
        <w:t>Pública</w:t>
      </w:r>
      <w:r w:rsidR="00C61FBD">
        <w:rPr>
          <w:rFonts w:ascii="Simplified Arabic Fixed" w:eastAsia="Times New Roman" w:hAnsi="Simplified Arabic Fixed" w:cs="Simplified Arabic Fixed"/>
          <w:bCs/>
          <w:lang w:eastAsia="es-ES"/>
        </w:rPr>
        <w:t xml:space="preserve"> del Municipio de Atlixco, arábigos </w:t>
      </w:r>
      <w:r w:rsidR="00657037">
        <w:rPr>
          <w:rFonts w:ascii="Simplified Arabic Fixed" w:eastAsia="Times New Roman" w:hAnsi="Simplified Arabic Fixed" w:cs="Simplified Arabic Fixed"/>
          <w:bCs/>
          <w:lang w:eastAsia="es-ES"/>
        </w:rPr>
        <w:t xml:space="preserve">de los cuales se desprenden </w:t>
      </w:r>
      <w:r w:rsidR="00C61FBD">
        <w:rPr>
          <w:rFonts w:ascii="Simplified Arabic Fixed" w:eastAsia="Times New Roman" w:hAnsi="Simplified Arabic Fixed" w:cs="Simplified Arabic Fixed"/>
          <w:bCs/>
          <w:lang w:eastAsia="es-ES"/>
        </w:rPr>
        <w:t>que</w:t>
      </w:r>
      <w:r w:rsidR="00657037">
        <w:rPr>
          <w:rFonts w:ascii="Simplified Arabic Fixed" w:eastAsia="Times New Roman" w:hAnsi="Simplified Arabic Fixed" w:cs="Simplified Arabic Fixed"/>
          <w:bCs/>
          <w:lang w:eastAsia="es-ES"/>
        </w:rPr>
        <w:t xml:space="preserve"> la aplicación del reglamento anteriormente citado, las facultades inherentes a la Administración de Mercados, Tianguis, centrales de abasto, acopio, etc. </w:t>
      </w:r>
      <w:r w:rsidR="00C61FBD">
        <w:rPr>
          <w:rFonts w:ascii="Simplified Arabic Fixed" w:eastAsia="Times New Roman" w:hAnsi="Simplified Arabic Fixed" w:cs="Simplified Arabic Fixed"/>
          <w:bCs/>
          <w:lang w:eastAsia="es-ES"/>
        </w:rPr>
        <w:t xml:space="preserve">Son del administrador en turno, quien podrá determinar las zonas de venta y horarios de acuerdo al giro comercial que le correspondan, en esa tesitura se aprecia que la determinación tomada por la autoridad responsable fue en todo momento cumpliendo con </w:t>
      </w:r>
      <w:r w:rsidR="00657037">
        <w:rPr>
          <w:rFonts w:ascii="Simplified Arabic Fixed" w:eastAsia="Times New Roman" w:hAnsi="Simplified Arabic Fixed" w:cs="Simplified Arabic Fixed"/>
          <w:bCs/>
          <w:lang w:eastAsia="es-ES"/>
        </w:rPr>
        <w:t xml:space="preserve">los extremos que establece </w:t>
      </w:r>
      <w:r w:rsidR="00086401">
        <w:rPr>
          <w:rFonts w:ascii="Simplified Arabic Fixed" w:eastAsia="Times New Roman" w:hAnsi="Simplified Arabic Fixed" w:cs="Simplified Arabic Fixed"/>
          <w:bCs/>
          <w:lang w:eastAsia="es-ES"/>
        </w:rPr>
        <w:t xml:space="preserve">el Artículo 16 Constitucional en virtud de que la autoridad responsable siendo una autoridad competente para conocer del asunto en mención emitió una resolución fundada y motivada </w:t>
      </w:r>
      <w:r w:rsidR="00C61FBD">
        <w:rPr>
          <w:rFonts w:ascii="Simplified Arabic Fixed" w:eastAsia="Times New Roman" w:hAnsi="Simplified Arabic Fixed" w:cs="Simplified Arabic Fixed"/>
          <w:bCs/>
          <w:lang w:eastAsia="es-ES"/>
        </w:rPr>
        <w:t>de acuerdo al supuesto jurídico vigente aplicable a la materia</w:t>
      </w:r>
      <w:r w:rsidR="00BE0C30">
        <w:rPr>
          <w:rFonts w:ascii="Simplified Arabic Fixed" w:eastAsia="Times New Roman" w:hAnsi="Simplified Arabic Fixed" w:cs="Simplified Arabic Fixed"/>
          <w:bCs/>
          <w:lang w:eastAsia="es-ES"/>
        </w:rPr>
        <w:t>, tiene relación con lo preliminar la siguiente tesis jurisprudencial:</w:t>
      </w:r>
    </w:p>
    <w:p w:rsidR="00BE0C30" w:rsidRDefault="00BE0C30" w:rsidP="00F15F01">
      <w:pPr>
        <w:spacing w:after="0" w:line="240" w:lineRule="auto"/>
        <w:ind w:firstLine="360"/>
        <w:jc w:val="both"/>
        <w:rPr>
          <w:rFonts w:ascii="Simplified Arabic Fixed" w:eastAsia="Times New Roman" w:hAnsi="Simplified Arabic Fixed" w:cs="Simplified Arabic Fixed"/>
          <w:bCs/>
          <w:lang w:eastAsia="es-ES"/>
        </w:rPr>
      </w:pPr>
    </w:p>
    <w:p w:rsidR="00BE0C30" w:rsidRDefault="00BE0C30" w:rsidP="00F15F01">
      <w:pPr>
        <w:spacing w:after="0" w:line="240" w:lineRule="auto"/>
        <w:ind w:firstLine="360"/>
        <w:jc w:val="both"/>
        <w:rPr>
          <w:rFonts w:ascii="Simplified Arabic Fixed" w:eastAsia="Times New Roman" w:hAnsi="Simplified Arabic Fixed" w:cs="Simplified Arabic Fixed"/>
          <w:bCs/>
          <w:lang w:eastAsia="es-ES"/>
        </w:rPr>
      </w:pPr>
    </w:p>
    <w:p w:rsidR="00BE0C30" w:rsidRPr="00BE0C30" w:rsidRDefault="00BE0C30" w:rsidP="00BE0C30">
      <w:pPr>
        <w:spacing w:after="0" w:line="240" w:lineRule="auto"/>
        <w:ind w:left="1416"/>
        <w:jc w:val="both"/>
        <w:rPr>
          <w:rFonts w:ascii="Simplified Arabic Fixed" w:eastAsia="Times New Roman" w:hAnsi="Simplified Arabic Fixed" w:cs="Simplified Arabic Fixed"/>
          <w:b/>
          <w:bCs/>
          <w:i/>
          <w:lang w:eastAsia="es-ES"/>
        </w:rPr>
      </w:pPr>
      <w:r w:rsidRPr="00BE0C30">
        <w:rPr>
          <w:rFonts w:ascii="Simplified Arabic Fixed" w:eastAsia="Times New Roman" w:hAnsi="Simplified Arabic Fixed" w:cs="Simplified Arabic Fixed"/>
          <w:b/>
          <w:bCs/>
          <w:i/>
          <w:lang w:eastAsia="es-ES"/>
        </w:rPr>
        <w:t xml:space="preserve">Época: Novena Época, Registro: 174094, Instancia: Segunda Sala, Tipo de Tesis: Jurisprudencia, Fuente: Semanario Judicial de la Federación y su Gaceta, Tomo XXIV, octubre de 2006, Materia(s): Constitucional, Tesis: 2a./J. 144/2006 Página: 351 </w:t>
      </w:r>
    </w:p>
    <w:p w:rsidR="00BE0C30" w:rsidRPr="00BE0C30" w:rsidRDefault="00BE0C30" w:rsidP="00BE0C30">
      <w:pPr>
        <w:spacing w:after="0" w:line="240" w:lineRule="auto"/>
        <w:ind w:firstLine="360"/>
        <w:jc w:val="both"/>
        <w:rPr>
          <w:rFonts w:ascii="Simplified Arabic Fixed" w:eastAsia="Times New Roman" w:hAnsi="Simplified Arabic Fixed" w:cs="Simplified Arabic Fixed"/>
          <w:b/>
          <w:bCs/>
          <w:i/>
          <w:lang w:eastAsia="es-ES"/>
        </w:rPr>
      </w:pPr>
    </w:p>
    <w:p w:rsidR="00BE0C30" w:rsidRPr="00BE0C30" w:rsidRDefault="00BE0C30" w:rsidP="00BE0C30">
      <w:pPr>
        <w:spacing w:after="0" w:line="240" w:lineRule="auto"/>
        <w:ind w:firstLine="360"/>
        <w:jc w:val="both"/>
        <w:rPr>
          <w:rFonts w:ascii="Simplified Arabic Fixed" w:eastAsia="Times New Roman" w:hAnsi="Simplified Arabic Fixed" w:cs="Simplified Arabic Fixed"/>
          <w:b/>
          <w:bCs/>
          <w:i/>
          <w:lang w:eastAsia="es-ES"/>
        </w:rPr>
      </w:pPr>
      <w:r w:rsidRPr="00BE0C30">
        <w:rPr>
          <w:rFonts w:ascii="Simplified Arabic Fixed" w:eastAsia="Times New Roman" w:hAnsi="Simplified Arabic Fixed" w:cs="Simplified Arabic Fixed"/>
          <w:b/>
          <w:bCs/>
          <w:i/>
          <w:lang w:eastAsia="es-ES"/>
        </w:rPr>
        <w:t>GARANTÍA DE SEGURIDAD JURÍDICA. SUS ALCANCES.</w:t>
      </w:r>
    </w:p>
    <w:p w:rsidR="00BE0C30" w:rsidRPr="00BE0C30" w:rsidRDefault="00BE0C30" w:rsidP="00BE0C30">
      <w:pPr>
        <w:spacing w:after="0" w:line="240" w:lineRule="auto"/>
        <w:ind w:firstLine="360"/>
        <w:jc w:val="both"/>
        <w:rPr>
          <w:rFonts w:ascii="Simplified Arabic Fixed" w:eastAsia="Times New Roman" w:hAnsi="Simplified Arabic Fixed" w:cs="Simplified Arabic Fixed"/>
          <w:bCs/>
          <w:i/>
          <w:lang w:eastAsia="es-ES"/>
        </w:rPr>
      </w:pPr>
    </w:p>
    <w:p w:rsidR="00BE0C30" w:rsidRPr="00BE0C30" w:rsidRDefault="00BE0C30" w:rsidP="00BE0C30">
      <w:pPr>
        <w:spacing w:after="0" w:line="240" w:lineRule="auto"/>
        <w:ind w:firstLine="360"/>
        <w:jc w:val="both"/>
        <w:rPr>
          <w:rFonts w:ascii="Simplified Arabic Fixed" w:eastAsia="Times New Roman" w:hAnsi="Simplified Arabic Fixed" w:cs="Simplified Arabic Fixed"/>
          <w:bCs/>
          <w:i/>
          <w:lang w:eastAsia="es-ES"/>
        </w:rPr>
      </w:pPr>
      <w:r w:rsidRPr="00BE0C30">
        <w:rPr>
          <w:rFonts w:ascii="Simplified Arabic Fixed" w:eastAsia="Times New Roman" w:hAnsi="Simplified Arabic Fixed" w:cs="Simplified Arabic Fixed"/>
          <w:bCs/>
          <w:i/>
          <w:lang w:eastAsia="es-ES"/>
        </w:rPr>
        <w:t xml:space="preserve">La garantía de seguridad jurídica prevista en el </w:t>
      </w:r>
      <w:r w:rsidRPr="00BE0C30">
        <w:rPr>
          <w:rFonts w:ascii="Simplified Arabic Fixed" w:eastAsia="Times New Roman" w:hAnsi="Simplified Arabic Fixed" w:cs="Simplified Arabic Fixed"/>
          <w:b/>
          <w:bCs/>
          <w:i/>
          <w:lang w:eastAsia="es-ES"/>
        </w:rPr>
        <w:t>artículo 16 de la Constitución Política de los Estados Unidos Mexicanos</w:t>
      </w:r>
      <w:r w:rsidRPr="00BE0C30">
        <w:rPr>
          <w:rFonts w:ascii="Simplified Arabic Fixed" w:eastAsia="Times New Roman" w:hAnsi="Simplified Arabic Fixed" w:cs="Simplified Arabic Fixed"/>
          <w:bCs/>
          <w:i/>
          <w:lang w:eastAsia="es-ES"/>
        </w:rPr>
        <w:t>, no debe entenderse en el sentido de que la ley ha de señalar de manera especial y precisa un procedimiento para regular cada una de las relaciones que se entablen entre las autoridades y los particulares, sino que debe contener los elementos mínimos para hacer valer el derecho del gobernado y para que, sobre este aspecto, la autoridad no incurra en arbitrariedades, lo que explica que existen trámites o relaciones que por su simplicidad o sencillez, no requieren de que la ley pormenorice un procedimiento detallado para ejercer el derecho correlativo. Lo anterior corrobora que es innecesario que en todos los supuestos de la ley se deba detallar minuciosamente el procedimiento, cuando éste se encuentra definido de manera sencilla para evidenciar la forma en que debe hacerse valer el derecho por el particular, así como las facultades y obligaciones que le corresponden a la autoridad.</w:t>
      </w:r>
    </w:p>
    <w:p w:rsidR="00086401" w:rsidRDefault="00086401" w:rsidP="00BE0C30">
      <w:pPr>
        <w:spacing w:after="0" w:line="240" w:lineRule="auto"/>
        <w:jc w:val="both"/>
        <w:rPr>
          <w:rFonts w:ascii="Simplified Arabic Fixed" w:eastAsia="Times New Roman" w:hAnsi="Simplified Arabic Fixed" w:cs="Simplified Arabic Fixed"/>
          <w:bCs/>
          <w:lang w:eastAsia="es-ES"/>
        </w:rPr>
      </w:pPr>
    </w:p>
    <w:p w:rsidR="00923BB6" w:rsidRDefault="00086401" w:rsidP="00923BB6">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Ahora bien, respecto de la </w:t>
      </w:r>
      <w:r w:rsidR="00262D72">
        <w:rPr>
          <w:rFonts w:ascii="Simplified Arabic Fixed" w:eastAsia="Times New Roman" w:hAnsi="Simplified Arabic Fixed" w:cs="Simplified Arabic Fixed"/>
          <w:bCs/>
          <w:lang w:eastAsia="es-ES"/>
        </w:rPr>
        <w:t>presunta</w:t>
      </w:r>
      <w:r>
        <w:rPr>
          <w:rFonts w:ascii="Simplified Arabic Fixed" w:eastAsia="Times New Roman" w:hAnsi="Simplified Arabic Fixed" w:cs="Simplified Arabic Fixed"/>
          <w:bCs/>
          <w:lang w:eastAsia="es-ES"/>
        </w:rPr>
        <w:t xml:space="preserve"> falta de las formalidades esenciales del procedimiento que ahora nos ocupa, </w:t>
      </w:r>
      <w:r w:rsidR="00C61FBD">
        <w:rPr>
          <w:rFonts w:ascii="Simplified Arabic Fixed" w:eastAsia="Times New Roman" w:hAnsi="Simplified Arabic Fixed" w:cs="Simplified Arabic Fixed"/>
          <w:bCs/>
          <w:lang w:eastAsia="es-ES"/>
        </w:rPr>
        <w:t xml:space="preserve">se prevé que no se trató de un inicio de procedimiento si no de una resolución fundada devenido de una solicitud formulada por un ciudadano, en donde la autoridad contraria a las afirmaciones sin sustento que aduce el recurrente, fue en todo momento tocante a los supuestos normativos aplicables al casi concreto, </w:t>
      </w:r>
      <w:r w:rsidR="00BE0C30">
        <w:rPr>
          <w:rFonts w:ascii="Simplified Arabic Fixed" w:eastAsia="Times New Roman" w:hAnsi="Simplified Arabic Fixed" w:cs="Simplified Arabic Fixed"/>
          <w:bCs/>
          <w:lang w:eastAsia="es-ES"/>
        </w:rPr>
        <w:t xml:space="preserve">en razón de lo antes transcrito se colige que la mencionada autoridad observo en todo momento las formalidades esenciales de todo procedimiento, </w:t>
      </w:r>
      <w:r w:rsidR="00923BB6">
        <w:rPr>
          <w:rFonts w:ascii="Simplified Arabic Fixed" w:eastAsia="Times New Roman" w:hAnsi="Simplified Arabic Fixed" w:cs="Simplified Arabic Fixed"/>
          <w:bCs/>
          <w:lang w:eastAsia="es-ES"/>
        </w:rPr>
        <w:t xml:space="preserve">contrario al recurrente que </w:t>
      </w:r>
      <w:r w:rsidR="006B4497">
        <w:rPr>
          <w:rFonts w:ascii="Simplified Arabic Fixed" w:eastAsia="Times New Roman" w:hAnsi="Simplified Arabic Fixed" w:cs="Simplified Arabic Fixed"/>
          <w:bCs/>
          <w:lang w:eastAsia="es-ES"/>
        </w:rPr>
        <w:t xml:space="preserve">únicamente </w:t>
      </w:r>
      <w:r w:rsidR="00923BB6">
        <w:rPr>
          <w:rFonts w:ascii="Simplified Arabic Fixed" w:eastAsia="Times New Roman" w:hAnsi="Simplified Arabic Fixed" w:cs="Simplified Arabic Fixed"/>
          <w:bCs/>
          <w:lang w:eastAsia="es-ES"/>
        </w:rPr>
        <w:t xml:space="preserve">se limitó a realizar </w:t>
      </w:r>
      <w:r w:rsidR="006B4497">
        <w:rPr>
          <w:rFonts w:ascii="Simplified Arabic Fixed" w:eastAsia="Times New Roman" w:hAnsi="Simplified Arabic Fixed" w:cs="Simplified Arabic Fixed"/>
          <w:bCs/>
          <w:lang w:eastAsia="es-ES"/>
        </w:rPr>
        <w:t xml:space="preserve">afirmaciones sin sustento de algún </w:t>
      </w:r>
      <w:r w:rsidR="00BE0C30">
        <w:rPr>
          <w:rFonts w:ascii="Simplified Arabic Fixed" w:eastAsia="Times New Roman" w:hAnsi="Simplified Arabic Fixed" w:cs="Simplified Arabic Fixed"/>
          <w:bCs/>
          <w:lang w:eastAsia="es-ES"/>
        </w:rPr>
        <w:t xml:space="preserve">argumento </w:t>
      </w:r>
      <w:r w:rsidR="006B4497">
        <w:rPr>
          <w:rFonts w:ascii="Simplified Arabic Fixed" w:eastAsia="Times New Roman" w:hAnsi="Simplified Arabic Fixed" w:cs="Simplified Arabic Fixed"/>
          <w:bCs/>
          <w:lang w:eastAsia="es-ES"/>
        </w:rPr>
        <w:t xml:space="preserve">lógico jurídico </w:t>
      </w:r>
      <w:r w:rsidR="00923BB6">
        <w:rPr>
          <w:rFonts w:ascii="Simplified Arabic Fixed" w:eastAsia="Times New Roman" w:hAnsi="Simplified Arabic Fixed" w:cs="Simplified Arabic Fixed"/>
          <w:bCs/>
          <w:lang w:eastAsia="es-ES"/>
        </w:rPr>
        <w:t xml:space="preserve">o probanza </w:t>
      </w:r>
      <w:r w:rsidR="006B4497">
        <w:rPr>
          <w:rFonts w:ascii="Simplified Arabic Fixed" w:eastAsia="Times New Roman" w:hAnsi="Simplified Arabic Fixed" w:cs="Simplified Arabic Fixed"/>
          <w:bCs/>
          <w:lang w:eastAsia="es-ES"/>
        </w:rPr>
        <w:t xml:space="preserve">que desvirtuara </w:t>
      </w:r>
      <w:r w:rsidR="00923BB6">
        <w:rPr>
          <w:rFonts w:ascii="Simplified Arabic Fixed" w:eastAsia="Times New Roman" w:hAnsi="Simplified Arabic Fixed" w:cs="Simplified Arabic Fixed"/>
          <w:bCs/>
          <w:lang w:eastAsia="es-ES"/>
        </w:rPr>
        <w:t>lo determinado por la autoridad.</w:t>
      </w:r>
    </w:p>
    <w:p w:rsidR="00BE0C30" w:rsidRDefault="00BE0C30" w:rsidP="00923BB6">
      <w:pPr>
        <w:spacing w:after="0" w:line="240" w:lineRule="auto"/>
        <w:jc w:val="both"/>
        <w:rPr>
          <w:rFonts w:ascii="Simplified Arabic Fixed" w:eastAsia="Times New Roman" w:hAnsi="Simplified Arabic Fixed" w:cs="Simplified Arabic Fixed"/>
          <w:bCs/>
          <w:lang w:eastAsia="es-ES"/>
        </w:rPr>
      </w:pPr>
    </w:p>
    <w:p w:rsidR="00923BB6" w:rsidRPr="00923BB6" w:rsidRDefault="00923BB6" w:rsidP="00923BB6">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esa tesitura y mayor abundamiento se reafirma la calificación de infundado el agravio único aducido por la quejosa </w:t>
      </w:r>
      <w:r w:rsidRPr="00923BB6">
        <w:rPr>
          <w:rFonts w:ascii="Simplified Arabic Fixed" w:eastAsia="Times New Roman" w:hAnsi="Simplified Arabic Fixed" w:cs="Simplified Arabic Fixed"/>
          <w:bCs/>
          <w:lang w:eastAsia="es-ES"/>
        </w:rPr>
        <w:t xml:space="preserve">en virtud de que </w:t>
      </w:r>
      <w:r>
        <w:rPr>
          <w:rFonts w:ascii="Simplified Arabic Fixed" w:eastAsia="Times New Roman" w:hAnsi="Simplified Arabic Fixed" w:cs="Simplified Arabic Fixed"/>
          <w:bCs/>
          <w:lang w:eastAsia="es-ES"/>
        </w:rPr>
        <w:t xml:space="preserve">la misma aduce violaciones graves a sus derechos fundamentales limitándose </w:t>
      </w:r>
      <w:r w:rsidRPr="00923BB6">
        <w:rPr>
          <w:rFonts w:ascii="Simplified Arabic Fixed" w:eastAsia="Times New Roman" w:hAnsi="Simplified Arabic Fixed" w:cs="Simplified Arabic Fixed"/>
          <w:bCs/>
          <w:lang w:eastAsia="es-ES"/>
        </w:rPr>
        <w:t xml:space="preserve">a realizar simples afirmaciones encaminadas a intentar calificar de inconstitucional el acto reclamado, sin que expongan razonadamente los motivos que conduzcan a esta autoridad a determinar fundada dicha suplica, en virtud de </w:t>
      </w:r>
      <w:r>
        <w:rPr>
          <w:rFonts w:ascii="Simplified Arabic Fixed" w:eastAsia="Times New Roman" w:hAnsi="Simplified Arabic Fixed" w:cs="Simplified Arabic Fixed"/>
          <w:bCs/>
          <w:lang w:eastAsia="es-ES"/>
        </w:rPr>
        <w:t xml:space="preserve">pretenden acreditar la violación a los derechos consagrados en los Artículos 14 y 16 Constitucionales únicamente transcribiéndolos sin que expresen específicamente de qué manera se afectó se esfera jurídica, teniendo </w:t>
      </w:r>
      <w:r w:rsidRPr="00923BB6">
        <w:rPr>
          <w:rFonts w:ascii="Simplified Arabic Fixed" w:eastAsia="Times New Roman" w:hAnsi="Simplified Arabic Fixed" w:cs="Simplified Arabic Fixed"/>
          <w:bCs/>
          <w:lang w:eastAsia="es-ES"/>
        </w:rPr>
        <w:t>relación a lo anteriormente expuesto la siguiente tesis jurisprudencial:</w:t>
      </w:r>
    </w:p>
    <w:p w:rsidR="00923BB6" w:rsidRPr="00923BB6" w:rsidRDefault="00923BB6" w:rsidP="00923BB6">
      <w:pPr>
        <w:spacing w:after="0" w:line="240" w:lineRule="auto"/>
        <w:jc w:val="both"/>
        <w:rPr>
          <w:rFonts w:ascii="Simplified Arabic Fixed" w:eastAsia="Times New Roman" w:hAnsi="Simplified Arabic Fixed" w:cs="Simplified Arabic Fixed"/>
          <w:bCs/>
          <w:lang w:eastAsia="es-ES"/>
        </w:rPr>
      </w:pPr>
    </w:p>
    <w:p w:rsidR="00923BB6" w:rsidRPr="00923BB6" w:rsidRDefault="00923BB6" w:rsidP="00923BB6">
      <w:pPr>
        <w:spacing w:after="0" w:line="240" w:lineRule="auto"/>
        <w:ind w:left="1416"/>
        <w:jc w:val="both"/>
        <w:rPr>
          <w:rFonts w:ascii="Simplified Arabic Fixed" w:eastAsia="Times New Roman" w:hAnsi="Simplified Arabic Fixed" w:cs="Simplified Arabic Fixed"/>
          <w:b/>
          <w:bCs/>
          <w:i/>
          <w:sz w:val="20"/>
          <w:lang w:eastAsia="es-ES"/>
        </w:rPr>
      </w:pPr>
      <w:r w:rsidRPr="00923BB6">
        <w:rPr>
          <w:rFonts w:ascii="Simplified Arabic Fixed" w:eastAsia="Times New Roman" w:hAnsi="Simplified Arabic Fixed" w:cs="Simplified Arabic Fixed"/>
          <w:b/>
          <w:bCs/>
          <w:i/>
          <w:sz w:val="20"/>
          <w:lang w:eastAsia="es-ES"/>
        </w:rPr>
        <w:t xml:space="preserve">Época: Novena Época, Registro: 185425, Instancia: Primera Sala, Tipo de Tesis: Jurisprudencia, Fuente: Semanario Judicial de la Federación y su Gaceta, Tomo XVI, diciembre de 2002, Materia(s): Común, Tesis: 1a./J. 81/2002, Página: 61. </w:t>
      </w:r>
    </w:p>
    <w:p w:rsidR="00923BB6" w:rsidRPr="00923BB6" w:rsidRDefault="00923BB6" w:rsidP="00923BB6">
      <w:pPr>
        <w:spacing w:after="0" w:line="240" w:lineRule="auto"/>
        <w:jc w:val="both"/>
        <w:rPr>
          <w:rFonts w:ascii="Simplified Arabic Fixed" w:eastAsia="Times New Roman" w:hAnsi="Simplified Arabic Fixed" w:cs="Simplified Arabic Fixed"/>
          <w:b/>
          <w:bCs/>
          <w:i/>
          <w:sz w:val="20"/>
          <w:lang w:eastAsia="es-ES"/>
        </w:rPr>
      </w:pPr>
    </w:p>
    <w:p w:rsidR="00923BB6" w:rsidRPr="00923BB6" w:rsidRDefault="00923BB6" w:rsidP="00923BB6">
      <w:pPr>
        <w:spacing w:after="0" w:line="240" w:lineRule="auto"/>
        <w:ind w:left="1416"/>
        <w:jc w:val="both"/>
        <w:rPr>
          <w:rFonts w:ascii="Simplified Arabic Fixed" w:eastAsia="Times New Roman" w:hAnsi="Simplified Arabic Fixed" w:cs="Simplified Arabic Fixed"/>
          <w:b/>
          <w:bCs/>
          <w:i/>
          <w:sz w:val="20"/>
          <w:lang w:eastAsia="es-ES"/>
        </w:rPr>
      </w:pPr>
      <w:r w:rsidRPr="00923BB6">
        <w:rPr>
          <w:rFonts w:ascii="Simplified Arabic Fixed" w:eastAsia="Times New Roman" w:hAnsi="Simplified Arabic Fixed" w:cs="Simplified Arabic Fixed"/>
          <w:b/>
          <w:bCs/>
          <w:i/>
          <w:sz w:val="20"/>
          <w:lang w:eastAsia="es-ES"/>
        </w:rPr>
        <w:t>CONCEPTOS DE VIOLACIÓN O AGRAVIOS. AUN CUANDO PARA LA PROCEDENCIA DE SU ESTUDIO BASTA CON EXPRESAR LA CAUSA DE PEDIR, ELLO NO IMPLICA QUE LOS QUEJOSOS O RECURRENTES SE LIMITEN A REALIZAR MERAS AFIRMACIONES SIN FUNDAMENTO.</w:t>
      </w:r>
    </w:p>
    <w:p w:rsidR="00923BB6" w:rsidRPr="00923BB6" w:rsidRDefault="00923BB6" w:rsidP="00923BB6">
      <w:pPr>
        <w:spacing w:after="0" w:line="240" w:lineRule="auto"/>
        <w:jc w:val="both"/>
        <w:rPr>
          <w:rFonts w:ascii="Simplified Arabic Fixed" w:eastAsia="Times New Roman" w:hAnsi="Simplified Arabic Fixed" w:cs="Simplified Arabic Fixed"/>
          <w:bCs/>
          <w:i/>
          <w:sz w:val="20"/>
          <w:lang w:eastAsia="es-ES"/>
        </w:rPr>
      </w:pPr>
    </w:p>
    <w:p w:rsidR="001C63BE" w:rsidRPr="00923BB6" w:rsidRDefault="00923BB6" w:rsidP="00923BB6">
      <w:pPr>
        <w:spacing w:after="0" w:line="240" w:lineRule="auto"/>
        <w:ind w:left="708"/>
        <w:jc w:val="both"/>
        <w:rPr>
          <w:rFonts w:ascii="Simplified Arabic Fixed" w:eastAsia="Times New Roman" w:hAnsi="Simplified Arabic Fixed" w:cs="Simplified Arabic Fixed"/>
          <w:bCs/>
          <w:i/>
          <w:sz w:val="20"/>
          <w:lang w:eastAsia="es-ES"/>
        </w:rPr>
      </w:pPr>
      <w:r w:rsidRPr="00923BB6">
        <w:rPr>
          <w:rFonts w:ascii="Simplified Arabic Fixed" w:eastAsia="Times New Roman" w:hAnsi="Simplified Arabic Fixed" w:cs="Simplified Arabic Fixed"/>
          <w:bCs/>
          <w:i/>
          <w:sz w:val="20"/>
          <w:lang w:eastAsia="es-ES"/>
        </w:rPr>
        <w:t>El hecho de que el Tribunal Pleno de la Suprema Corte de Justicia de la Nación haya establecido en su jurisprudencia que para que proceda el estudio de los conceptos de violación o de los agravios, basta con que en ellos se exprese la causa de pedir, obedece a la necesidad de precisar que aquéllos no necesariamente deben plantearse a manera de silogismo jurídico, o bien, bajo cierta redacción sacramental, pero ello de manera alguna implica que los quejosos o recurrentes se limiten a realizar meras afirmaciones sin sustento o fundamento, pues es obvio que a ellos corresponde (salvo en los supuestos legales de suplencia de la queja) exponer razonadamente por qué estiman inconstitucionales o ilegales los actos que reclaman o recurren. Lo anterior se corrobora con el criterio sustentado por este Alto Tribunal en el sentido de que resultan inoperantes aquellos argumentos que no atacan los fundamentos del acto o resolución que con ellos pretende combatirse.</w:t>
      </w:r>
    </w:p>
    <w:p w:rsidR="00923BB6" w:rsidRPr="00923BB6" w:rsidRDefault="00923BB6" w:rsidP="003103B5">
      <w:pPr>
        <w:spacing w:after="0" w:line="240" w:lineRule="auto"/>
        <w:jc w:val="both"/>
        <w:rPr>
          <w:rFonts w:ascii="Simplified Arabic Fixed" w:eastAsia="Times New Roman" w:hAnsi="Simplified Arabic Fixed" w:cs="Simplified Arabic Fixed"/>
          <w:bCs/>
          <w:i/>
          <w:lang w:eastAsia="es-ES"/>
        </w:rPr>
      </w:pPr>
    </w:p>
    <w:p w:rsidR="00B00F3E" w:rsidRDefault="00B00F3E" w:rsidP="00B00F3E">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Precisado lo anterior y en atención a </w:t>
      </w:r>
      <w:r w:rsidR="00A72885">
        <w:rPr>
          <w:rFonts w:ascii="Simplified Arabic Fixed" w:eastAsia="Times New Roman" w:hAnsi="Simplified Arabic Fixed" w:cs="Simplified Arabic Fixed"/>
          <w:bCs/>
          <w:lang w:eastAsia="es-ES"/>
        </w:rPr>
        <w:t>constancias que obran en el presente expediente</w:t>
      </w:r>
      <w:r>
        <w:rPr>
          <w:rFonts w:ascii="Simplified Arabic Fixed" w:eastAsia="Times New Roman" w:hAnsi="Simplified Arabic Fixed" w:cs="Simplified Arabic Fixed"/>
          <w:bCs/>
          <w:lang w:eastAsia="es-ES"/>
        </w:rPr>
        <w:t xml:space="preserve"> es dable confirmar el acto ahora reclamado en virtud de que las </w:t>
      </w:r>
      <w:r w:rsidR="008216D3">
        <w:rPr>
          <w:rFonts w:ascii="Simplified Arabic Fixed" w:eastAsia="Times New Roman" w:hAnsi="Simplified Arabic Fixed" w:cs="Simplified Arabic Fixed"/>
          <w:bCs/>
          <w:lang w:eastAsia="es-ES"/>
        </w:rPr>
        <w:t>defensas</w:t>
      </w:r>
      <w:r>
        <w:rPr>
          <w:rFonts w:ascii="Simplified Arabic Fixed" w:eastAsia="Times New Roman" w:hAnsi="Simplified Arabic Fixed" w:cs="Simplified Arabic Fixed"/>
          <w:bCs/>
          <w:lang w:eastAsia="es-ES"/>
        </w:rPr>
        <w:t xml:space="preserve"> vertidas se conducen en el mismo sentido que los agravios enunciados en líneas anteriores, los cuales fueron calificados infundados, razón por la cual una vez que la presente resolución cause estado, se ordena a la </w:t>
      </w:r>
      <w:r w:rsidRPr="00B00F3E">
        <w:rPr>
          <w:rFonts w:ascii="Simplified Arabic Fixed" w:eastAsia="Times New Roman" w:hAnsi="Simplified Arabic Fixed" w:cs="Simplified Arabic Fixed"/>
          <w:b/>
          <w:bCs/>
          <w:lang w:eastAsia="es-ES"/>
        </w:rPr>
        <w:t>JEFATURA DE LA ADMINISTRACION DE MERCADOS Y TIANGUIS DEL H. AYUNTAMIENTO DE ATLIXCO</w:t>
      </w:r>
      <w:r>
        <w:rPr>
          <w:rFonts w:ascii="Simplified Arabic Fixed" w:eastAsia="Times New Roman" w:hAnsi="Simplified Arabic Fixed" w:cs="Simplified Arabic Fixed"/>
          <w:b/>
          <w:bCs/>
          <w:lang w:eastAsia="es-ES"/>
        </w:rPr>
        <w:t xml:space="preserve"> </w:t>
      </w:r>
      <w:r w:rsidR="00CC2228">
        <w:rPr>
          <w:rFonts w:ascii="Simplified Arabic Fixed" w:eastAsia="Times New Roman" w:hAnsi="Simplified Arabic Fixed" w:cs="Simplified Arabic Fixed"/>
          <w:bCs/>
          <w:lang w:eastAsia="es-ES"/>
        </w:rPr>
        <w:t xml:space="preserve">deberá notificar a la quejosa que la determinación de fecha cinco de diciembre de dos mil dieciséis resulta conforme a derecho. </w:t>
      </w:r>
    </w:p>
    <w:p w:rsidR="004F23C9" w:rsidRPr="00B00F3E" w:rsidRDefault="00B00F3E" w:rsidP="00B00F3E">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 </w:t>
      </w:r>
    </w:p>
    <w:p w:rsidR="00C30088" w:rsidRPr="005E4FF8" w:rsidRDefault="00C30088" w:rsidP="00EF11EA">
      <w:pPr>
        <w:spacing w:after="0" w:line="240" w:lineRule="auto"/>
        <w:jc w:val="center"/>
        <w:rPr>
          <w:rFonts w:ascii="Simplified Arabic Fixed" w:eastAsia="Times New Roman" w:hAnsi="Simplified Arabic Fixed" w:cs="Simplified Arabic Fixed"/>
          <w:bCs/>
          <w:lang w:val="es-ES" w:eastAsia="es-ES"/>
        </w:rPr>
      </w:pPr>
      <w:r w:rsidRPr="005E4FF8">
        <w:rPr>
          <w:rFonts w:ascii="Simplified Arabic Fixed" w:eastAsia="Times New Roman" w:hAnsi="Simplified Arabic Fixed" w:cs="Simplified Arabic Fixed"/>
          <w:bCs/>
          <w:lang w:val="es-ES" w:eastAsia="es-ES"/>
        </w:rPr>
        <w:t>Por lo anteriormente expuesto y fundado se;</w:t>
      </w:r>
    </w:p>
    <w:p w:rsidR="00EF11EA" w:rsidRPr="005E4FF8" w:rsidRDefault="00EF11EA" w:rsidP="00EF11EA">
      <w:pPr>
        <w:spacing w:after="0" w:line="240" w:lineRule="auto"/>
        <w:jc w:val="center"/>
        <w:rPr>
          <w:rFonts w:ascii="Simplified Arabic Fixed" w:eastAsia="Times New Roman" w:hAnsi="Simplified Arabic Fixed" w:cs="Simplified Arabic Fixed"/>
          <w:b/>
          <w:bCs/>
          <w:lang w:val="es-ES" w:eastAsia="es-ES"/>
        </w:rPr>
      </w:pPr>
    </w:p>
    <w:p w:rsidR="00EF11EA" w:rsidRDefault="00C30088" w:rsidP="002E1729">
      <w:pPr>
        <w:spacing w:after="0" w:line="240" w:lineRule="auto"/>
        <w:jc w:val="center"/>
        <w:rPr>
          <w:rFonts w:ascii="Simplified Arabic Fixed" w:eastAsia="Times New Roman" w:hAnsi="Simplified Arabic Fixed" w:cs="Simplified Arabic Fixed"/>
          <w:b/>
          <w:bCs/>
          <w:lang w:val="es-ES" w:eastAsia="es-ES"/>
        </w:rPr>
      </w:pPr>
      <w:r w:rsidRPr="005E4FF8">
        <w:rPr>
          <w:rFonts w:ascii="Simplified Arabic Fixed" w:eastAsia="Times New Roman" w:hAnsi="Simplified Arabic Fixed" w:cs="Simplified Arabic Fixed"/>
          <w:b/>
          <w:bCs/>
          <w:lang w:val="es-ES" w:eastAsia="es-ES"/>
        </w:rPr>
        <w:t>RESUELVE</w:t>
      </w:r>
    </w:p>
    <w:p w:rsidR="002E1729" w:rsidRPr="005E4FF8" w:rsidRDefault="007F559E" w:rsidP="007F559E">
      <w:pPr>
        <w:tabs>
          <w:tab w:val="left" w:pos="2060"/>
        </w:tabs>
        <w:spacing w:after="0" w:line="240" w:lineRule="auto"/>
        <w:rPr>
          <w:rFonts w:ascii="Simplified Arabic Fixed" w:eastAsia="Times New Roman" w:hAnsi="Simplified Arabic Fixed" w:cs="Simplified Arabic Fixed"/>
          <w:b/>
          <w:bCs/>
          <w:lang w:val="es-ES" w:eastAsia="es-ES"/>
        </w:rPr>
      </w:pPr>
      <w:r>
        <w:rPr>
          <w:rFonts w:ascii="Simplified Arabic Fixed" w:eastAsia="Times New Roman" w:hAnsi="Simplified Arabic Fixed" w:cs="Simplified Arabic Fixed"/>
          <w:b/>
          <w:bCs/>
          <w:lang w:val="es-ES" w:eastAsia="es-ES"/>
        </w:rPr>
        <w:tab/>
      </w:r>
    </w:p>
    <w:p w:rsidR="00C30088" w:rsidRPr="005E4FF8" w:rsidRDefault="002E1729" w:rsidP="00C30088">
      <w:p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
          <w:bCs/>
          <w:lang w:val="es-ES" w:eastAsia="es-ES"/>
        </w:rPr>
        <w:t>UNICO</w:t>
      </w:r>
      <w:r w:rsidR="00C30088" w:rsidRPr="005E4FF8">
        <w:rPr>
          <w:rFonts w:ascii="Simplified Arabic Fixed" w:eastAsia="Times New Roman" w:hAnsi="Simplified Arabic Fixed" w:cs="Simplified Arabic Fixed"/>
          <w:b/>
          <w:bCs/>
          <w:lang w:val="es-ES" w:eastAsia="es-ES"/>
        </w:rPr>
        <w:t xml:space="preserve">.  </w:t>
      </w:r>
      <w:r w:rsidR="00C30088" w:rsidRPr="005E4FF8">
        <w:rPr>
          <w:rFonts w:ascii="Simplified Arabic Fixed" w:eastAsia="Times New Roman" w:hAnsi="Simplified Arabic Fixed" w:cs="Simplified Arabic Fixed"/>
          <w:bCs/>
          <w:lang w:val="es-ES" w:eastAsia="es-ES"/>
        </w:rPr>
        <w:t xml:space="preserve">Con fundamento en los artículos 271, 272 y 275 e la Ley Orgánica Municipal del Estado de Puebla </w:t>
      </w:r>
      <w:r>
        <w:rPr>
          <w:rFonts w:ascii="Simplified Arabic Fixed" w:eastAsia="Times New Roman" w:hAnsi="Simplified Arabic Fixed" w:cs="Simplified Arabic Fixed"/>
          <w:b/>
          <w:bCs/>
          <w:lang w:val="es-ES" w:eastAsia="es-ES"/>
        </w:rPr>
        <w:t>SE CONFIRMA</w:t>
      </w:r>
      <w:r w:rsidR="00C30088" w:rsidRPr="005E4FF8">
        <w:rPr>
          <w:rFonts w:ascii="Simplified Arabic Fixed" w:eastAsia="Times New Roman" w:hAnsi="Simplified Arabic Fixed" w:cs="Simplified Arabic Fixed"/>
          <w:b/>
          <w:bCs/>
          <w:lang w:val="es-ES" w:eastAsia="es-ES"/>
        </w:rPr>
        <w:t xml:space="preserve"> EL ACTO RECLAMADO</w:t>
      </w:r>
      <w:r w:rsidR="00EF11EA" w:rsidRPr="005E4FF8">
        <w:rPr>
          <w:rFonts w:ascii="Simplified Arabic Fixed" w:eastAsia="Times New Roman" w:hAnsi="Simplified Arabic Fixed" w:cs="Simplified Arabic Fixed"/>
          <w:bCs/>
          <w:lang w:val="es-ES" w:eastAsia="es-ES"/>
        </w:rPr>
        <w:t xml:space="preserve"> para los efectos expresados en el apartado de considerandos de la presente resolución.</w:t>
      </w:r>
      <w:r>
        <w:rPr>
          <w:rFonts w:ascii="Simplified Arabic Fixed" w:eastAsia="Times New Roman" w:hAnsi="Simplified Arabic Fixed" w:cs="Simplified Arabic Fixed"/>
          <w:bCs/>
          <w:lang w:val="es-ES" w:eastAsia="es-ES"/>
        </w:rPr>
        <w:t xml:space="preserve"> </w:t>
      </w:r>
      <w:r w:rsidR="00EF11EA" w:rsidRPr="005E4FF8">
        <w:rPr>
          <w:rFonts w:ascii="Simplified Arabic Fixed" w:eastAsia="Times New Roman" w:hAnsi="Simplified Arabic Fixed" w:cs="Simplified Arabic Fixed"/>
          <w:bCs/>
          <w:lang w:val="es-ES" w:eastAsia="es-ES"/>
        </w:rPr>
        <w:t>--------</w:t>
      </w:r>
      <w:r>
        <w:rPr>
          <w:rFonts w:ascii="Simplified Arabic Fixed" w:eastAsia="Times New Roman" w:hAnsi="Simplified Arabic Fixed" w:cs="Simplified Arabic Fixed"/>
          <w:bCs/>
          <w:lang w:val="es-ES" w:eastAsia="es-ES"/>
        </w:rPr>
        <w:t>---------------</w:t>
      </w:r>
      <w:r w:rsidR="007F559E">
        <w:rPr>
          <w:rFonts w:ascii="Simplified Arabic Fixed" w:eastAsia="Times New Roman" w:hAnsi="Simplified Arabic Fixed" w:cs="Simplified Arabic Fixed"/>
          <w:bCs/>
          <w:lang w:val="es-ES" w:eastAsia="es-ES"/>
        </w:rPr>
        <w:t>-----------------------</w:t>
      </w:r>
    </w:p>
    <w:p w:rsidR="00C30088" w:rsidRPr="005E4FF8" w:rsidRDefault="00C30088" w:rsidP="00EF11EA">
      <w:pPr>
        <w:spacing w:after="0" w:line="240" w:lineRule="auto"/>
        <w:jc w:val="center"/>
        <w:rPr>
          <w:rFonts w:ascii="Simplified Arabic Fixed" w:eastAsia="Times New Roman" w:hAnsi="Simplified Arabic Fixed" w:cs="Simplified Arabic Fixed"/>
          <w:bCs/>
          <w:lang w:eastAsia="es-ES"/>
        </w:rPr>
      </w:pPr>
    </w:p>
    <w:p w:rsidR="00AD786E" w:rsidRDefault="00AD786E" w:rsidP="005E1ED8">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NOTIFÍQUESE PERSONALMENTE</w:t>
      </w:r>
      <w:r>
        <w:rPr>
          <w:rFonts w:ascii="Simplified Arabic Fixed" w:eastAsia="Times New Roman" w:hAnsi="Simplified Arabic Fixed" w:cs="Simplified Arabic Fixed"/>
          <w:b/>
          <w:bCs/>
          <w:lang w:eastAsia="es-ES"/>
        </w:rPr>
        <w:t xml:space="preserve"> A LOS RECURRENTES, TERCERO PERJUDICADO Y POR OFICIO A LA AUTORIDAD SEÑALADA COMO RESPONSABLE. </w:t>
      </w:r>
      <w:r w:rsidRPr="00762DBC">
        <w:rPr>
          <w:rFonts w:ascii="Simplified Arabic Fixed" w:eastAsia="Times New Roman" w:hAnsi="Simplified Arabic Fixed" w:cs="Simplified Arabic Fixed"/>
          <w:b/>
          <w:bCs/>
          <w:lang w:eastAsia="es-ES"/>
        </w:rPr>
        <w:t>-------------</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both"/>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Así lo proveyó y firma, el Lic. Jorge Gutiérrez Ramos, Síndico Municipal del Honorable Ayuntamiento de Atlixco, Estado de Puebla, ante la fe de</w:t>
      </w:r>
      <w:r>
        <w:rPr>
          <w:rFonts w:ascii="Simplified Arabic Fixed" w:eastAsia="Times New Roman" w:hAnsi="Simplified Arabic Fixed" w:cs="Simplified Arabic Fixed"/>
          <w:b/>
          <w:bCs/>
          <w:lang w:eastAsia="es-ES"/>
        </w:rPr>
        <w:t>l Lic.</w:t>
      </w:r>
      <w:r w:rsidRPr="00762DBC">
        <w:rPr>
          <w:rFonts w:ascii="Simplified Arabic Fixed" w:eastAsia="Times New Roman" w:hAnsi="Simplified Arabic Fixed" w:cs="Simplified Arabic Fixed"/>
          <w:b/>
          <w:bCs/>
          <w:lang w:eastAsia="es-ES"/>
        </w:rPr>
        <w:t xml:space="preserve"> Rene Jesús Osorno Gámez Jefe del Departamento C de la Sindicatura Municipal del Ayuntamiento de Atlixco quien autoriza y da fe en la misma fecha de su expedición.</w:t>
      </w:r>
      <w:r>
        <w:rPr>
          <w:rFonts w:ascii="Simplified Arabic Fixed" w:eastAsia="Times New Roman" w:hAnsi="Simplified Arabic Fixed" w:cs="Simplified Arabic Fixed"/>
          <w:b/>
          <w:bCs/>
          <w:lang w:eastAsia="es-ES"/>
        </w:rPr>
        <w:t xml:space="preserve"> </w:t>
      </w:r>
      <w:r w:rsidRPr="00762DBC">
        <w:rPr>
          <w:rFonts w:ascii="Simplified Arabic Fixed" w:eastAsia="Times New Roman" w:hAnsi="Simplified Arabic Fixed" w:cs="Simplified Arabic Fixed"/>
          <w:b/>
          <w:bCs/>
          <w:lang w:eastAsia="es-ES"/>
        </w:rPr>
        <w:t>--------------</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LIC. JORGE GUTIÉRREZ RAMOS.</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SÍNDICO MUNICIPAL</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LI</w:t>
      </w:r>
      <w:r w:rsidRPr="00762DBC">
        <w:rPr>
          <w:rFonts w:ascii="Simplified Arabic Fixed" w:eastAsia="Times New Roman" w:hAnsi="Simplified Arabic Fixed" w:cs="Simplified Arabic Fixed"/>
          <w:b/>
          <w:bCs/>
          <w:lang w:eastAsia="es-ES"/>
        </w:rPr>
        <w:t>C. RENE JESUS OSORNO GAMEZ</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JEFE DEL DTO. C</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SINDICATURA MUNICIPAL</w:t>
      </w: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4C7112">
      <w:pPr>
        <w:spacing w:after="0" w:line="240" w:lineRule="auto"/>
        <w:rPr>
          <w:rFonts w:ascii="Simplified Arabic Fixed" w:eastAsia="Times New Roman" w:hAnsi="Simplified Arabic Fixed" w:cs="Simplified Arabic Fixed"/>
          <w:b/>
          <w:bCs/>
          <w:lang w:eastAsia="es-ES"/>
        </w:rPr>
      </w:pPr>
    </w:p>
    <w:p w:rsidR="004C7112" w:rsidRPr="005E4FF8" w:rsidRDefault="004C7112" w:rsidP="005E1ED8">
      <w:pPr>
        <w:spacing w:after="0" w:line="240" w:lineRule="auto"/>
        <w:jc w:val="center"/>
        <w:rPr>
          <w:rFonts w:ascii="Simplified Arabic Fixed" w:eastAsia="Times New Roman" w:hAnsi="Simplified Arabic Fixed" w:cs="Simplified Arabic Fixed"/>
          <w:b/>
          <w:bCs/>
          <w:lang w:eastAsia="es-ES"/>
        </w:rPr>
      </w:pPr>
    </w:p>
    <w:sectPr w:rsidR="004C7112" w:rsidRPr="005E4FF8"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A63" w:rsidRDefault="00A02A63" w:rsidP="00786564">
      <w:pPr>
        <w:spacing w:after="0" w:line="240" w:lineRule="auto"/>
      </w:pPr>
      <w:r>
        <w:separator/>
      </w:r>
    </w:p>
  </w:endnote>
  <w:endnote w:type="continuationSeparator" w:id="0">
    <w:p w:rsidR="00A02A63" w:rsidRDefault="00A02A63"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151BE">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151BE">
              <w:rPr>
                <w:b/>
                <w:bCs/>
                <w:noProof/>
              </w:rPr>
              <w:t>1</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60823D6B" wp14:editId="7F7B29E7">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A63" w:rsidRDefault="00A02A63" w:rsidP="00786564">
      <w:pPr>
        <w:spacing w:after="0" w:line="240" w:lineRule="auto"/>
      </w:pPr>
      <w:r>
        <w:separator/>
      </w:r>
    </w:p>
  </w:footnote>
  <w:footnote w:type="continuationSeparator" w:id="0">
    <w:p w:rsidR="00A02A63" w:rsidRDefault="00A02A63"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5"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6"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21"/>
  </w:num>
  <w:num w:numId="4">
    <w:abstractNumId w:val="11"/>
  </w:num>
  <w:num w:numId="5">
    <w:abstractNumId w:val="16"/>
  </w:num>
  <w:num w:numId="6">
    <w:abstractNumId w:val="9"/>
  </w:num>
  <w:num w:numId="7">
    <w:abstractNumId w:val="20"/>
  </w:num>
  <w:num w:numId="8">
    <w:abstractNumId w:val="18"/>
  </w:num>
  <w:num w:numId="9">
    <w:abstractNumId w:val="0"/>
  </w:num>
  <w:num w:numId="10">
    <w:abstractNumId w:val="2"/>
  </w:num>
  <w:num w:numId="11">
    <w:abstractNumId w:val="14"/>
  </w:num>
  <w:num w:numId="12">
    <w:abstractNumId w:val="22"/>
  </w:num>
  <w:num w:numId="13">
    <w:abstractNumId w:val="10"/>
  </w:num>
  <w:num w:numId="14">
    <w:abstractNumId w:val="7"/>
  </w:num>
  <w:num w:numId="15">
    <w:abstractNumId w:val="13"/>
  </w:num>
  <w:num w:numId="16">
    <w:abstractNumId w:val="15"/>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 w:numId="21">
    <w:abstractNumId w:val="6"/>
  </w:num>
  <w:num w:numId="22">
    <w:abstractNumId w:val="8"/>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08"/>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596F"/>
    <w:rsid w:val="00072225"/>
    <w:rsid w:val="00086401"/>
    <w:rsid w:val="000865AB"/>
    <w:rsid w:val="00090099"/>
    <w:rsid w:val="000A0FFA"/>
    <w:rsid w:val="000A5BDB"/>
    <w:rsid w:val="000B5F27"/>
    <w:rsid w:val="000C1EEA"/>
    <w:rsid w:val="000C4EC9"/>
    <w:rsid w:val="000C5D5F"/>
    <w:rsid w:val="000D6509"/>
    <w:rsid w:val="000D7D3E"/>
    <w:rsid w:val="000F4F15"/>
    <w:rsid w:val="000F53F4"/>
    <w:rsid w:val="00112F46"/>
    <w:rsid w:val="001219E1"/>
    <w:rsid w:val="00131911"/>
    <w:rsid w:val="00134200"/>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D478A"/>
    <w:rsid w:val="001E5A93"/>
    <w:rsid w:val="00207A7D"/>
    <w:rsid w:val="002151BE"/>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73A49"/>
    <w:rsid w:val="00274167"/>
    <w:rsid w:val="002A1B79"/>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20F9B"/>
    <w:rsid w:val="00431326"/>
    <w:rsid w:val="00441DD8"/>
    <w:rsid w:val="00442616"/>
    <w:rsid w:val="00447B06"/>
    <w:rsid w:val="00447D5C"/>
    <w:rsid w:val="00451C8D"/>
    <w:rsid w:val="00456F55"/>
    <w:rsid w:val="00470666"/>
    <w:rsid w:val="00491A77"/>
    <w:rsid w:val="00493F94"/>
    <w:rsid w:val="004B201A"/>
    <w:rsid w:val="004B747A"/>
    <w:rsid w:val="004C7112"/>
    <w:rsid w:val="004C7D49"/>
    <w:rsid w:val="004D1E36"/>
    <w:rsid w:val="004D2A05"/>
    <w:rsid w:val="004D3AF8"/>
    <w:rsid w:val="004D640A"/>
    <w:rsid w:val="004E6579"/>
    <w:rsid w:val="004F1D34"/>
    <w:rsid w:val="004F23C9"/>
    <w:rsid w:val="004F3439"/>
    <w:rsid w:val="004F3939"/>
    <w:rsid w:val="004F4F29"/>
    <w:rsid w:val="00506905"/>
    <w:rsid w:val="00506B4B"/>
    <w:rsid w:val="00512710"/>
    <w:rsid w:val="00524A5F"/>
    <w:rsid w:val="00534D5D"/>
    <w:rsid w:val="00534DBD"/>
    <w:rsid w:val="00535D14"/>
    <w:rsid w:val="00541BC1"/>
    <w:rsid w:val="0055022D"/>
    <w:rsid w:val="005558FA"/>
    <w:rsid w:val="005606FC"/>
    <w:rsid w:val="00562FA2"/>
    <w:rsid w:val="00582671"/>
    <w:rsid w:val="005973D6"/>
    <w:rsid w:val="005A2C60"/>
    <w:rsid w:val="005A3EB0"/>
    <w:rsid w:val="005B186B"/>
    <w:rsid w:val="005B3FA0"/>
    <w:rsid w:val="005B59D6"/>
    <w:rsid w:val="005B6134"/>
    <w:rsid w:val="005C0E3F"/>
    <w:rsid w:val="005C7282"/>
    <w:rsid w:val="005D41A2"/>
    <w:rsid w:val="005D4DC8"/>
    <w:rsid w:val="005D71F6"/>
    <w:rsid w:val="005D7548"/>
    <w:rsid w:val="005E1ED8"/>
    <w:rsid w:val="005E4193"/>
    <w:rsid w:val="005E4FF8"/>
    <w:rsid w:val="005E5DE8"/>
    <w:rsid w:val="005E759B"/>
    <w:rsid w:val="005F47BA"/>
    <w:rsid w:val="0060454A"/>
    <w:rsid w:val="0061218F"/>
    <w:rsid w:val="00625B12"/>
    <w:rsid w:val="0065122D"/>
    <w:rsid w:val="00657037"/>
    <w:rsid w:val="00660B78"/>
    <w:rsid w:val="00664CE2"/>
    <w:rsid w:val="006674E6"/>
    <w:rsid w:val="006715D4"/>
    <w:rsid w:val="0068476C"/>
    <w:rsid w:val="00685755"/>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45D48"/>
    <w:rsid w:val="007522C5"/>
    <w:rsid w:val="00752CAB"/>
    <w:rsid w:val="00753F9D"/>
    <w:rsid w:val="0075523B"/>
    <w:rsid w:val="00762DBC"/>
    <w:rsid w:val="00767B23"/>
    <w:rsid w:val="007810BC"/>
    <w:rsid w:val="007812DA"/>
    <w:rsid w:val="00782A29"/>
    <w:rsid w:val="007854C5"/>
    <w:rsid w:val="00786564"/>
    <w:rsid w:val="00786C90"/>
    <w:rsid w:val="00787D6C"/>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35244"/>
    <w:rsid w:val="00836177"/>
    <w:rsid w:val="00840297"/>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A33"/>
    <w:rsid w:val="008F1143"/>
    <w:rsid w:val="008F2EE9"/>
    <w:rsid w:val="00903B82"/>
    <w:rsid w:val="00904BA5"/>
    <w:rsid w:val="009062A7"/>
    <w:rsid w:val="00906FBB"/>
    <w:rsid w:val="00923BB6"/>
    <w:rsid w:val="00933BAB"/>
    <w:rsid w:val="00933E17"/>
    <w:rsid w:val="00941913"/>
    <w:rsid w:val="00945039"/>
    <w:rsid w:val="00962947"/>
    <w:rsid w:val="00973191"/>
    <w:rsid w:val="009738C9"/>
    <w:rsid w:val="00974335"/>
    <w:rsid w:val="00976FD0"/>
    <w:rsid w:val="00992231"/>
    <w:rsid w:val="00997210"/>
    <w:rsid w:val="009A0051"/>
    <w:rsid w:val="009B3C9D"/>
    <w:rsid w:val="009B5EC6"/>
    <w:rsid w:val="009C2D19"/>
    <w:rsid w:val="009C5D74"/>
    <w:rsid w:val="009C7E30"/>
    <w:rsid w:val="009D110F"/>
    <w:rsid w:val="009D23C8"/>
    <w:rsid w:val="009D57D8"/>
    <w:rsid w:val="009E3A36"/>
    <w:rsid w:val="009F547B"/>
    <w:rsid w:val="009F5541"/>
    <w:rsid w:val="00A003A5"/>
    <w:rsid w:val="00A02A63"/>
    <w:rsid w:val="00A10A0C"/>
    <w:rsid w:val="00A11062"/>
    <w:rsid w:val="00A147D6"/>
    <w:rsid w:val="00A153D1"/>
    <w:rsid w:val="00A1627C"/>
    <w:rsid w:val="00A27DDA"/>
    <w:rsid w:val="00A305D9"/>
    <w:rsid w:val="00A3159E"/>
    <w:rsid w:val="00A37CFF"/>
    <w:rsid w:val="00A45CDD"/>
    <w:rsid w:val="00A55D6B"/>
    <w:rsid w:val="00A56A9A"/>
    <w:rsid w:val="00A573C2"/>
    <w:rsid w:val="00A61C61"/>
    <w:rsid w:val="00A72885"/>
    <w:rsid w:val="00A73485"/>
    <w:rsid w:val="00A738B9"/>
    <w:rsid w:val="00A81BC3"/>
    <w:rsid w:val="00A83D4D"/>
    <w:rsid w:val="00A85AAD"/>
    <w:rsid w:val="00A8730B"/>
    <w:rsid w:val="00A87846"/>
    <w:rsid w:val="00A974AE"/>
    <w:rsid w:val="00AA1452"/>
    <w:rsid w:val="00AA566E"/>
    <w:rsid w:val="00AB5734"/>
    <w:rsid w:val="00AB5A0C"/>
    <w:rsid w:val="00AB73EA"/>
    <w:rsid w:val="00AC16C5"/>
    <w:rsid w:val="00AD4971"/>
    <w:rsid w:val="00AD5E76"/>
    <w:rsid w:val="00AD694E"/>
    <w:rsid w:val="00AD786E"/>
    <w:rsid w:val="00AE421F"/>
    <w:rsid w:val="00AE4D24"/>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30088"/>
    <w:rsid w:val="00C425F4"/>
    <w:rsid w:val="00C464AE"/>
    <w:rsid w:val="00C52E35"/>
    <w:rsid w:val="00C53A6C"/>
    <w:rsid w:val="00C55C8B"/>
    <w:rsid w:val="00C56733"/>
    <w:rsid w:val="00C61FBD"/>
    <w:rsid w:val="00C80E1E"/>
    <w:rsid w:val="00C86459"/>
    <w:rsid w:val="00C90D9B"/>
    <w:rsid w:val="00C9383A"/>
    <w:rsid w:val="00C94FD8"/>
    <w:rsid w:val="00C97C57"/>
    <w:rsid w:val="00CA3A9F"/>
    <w:rsid w:val="00CA599B"/>
    <w:rsid w:val="00CA70E5"/>
    <w:rsid w:val="00CB0E77"/>
    <w:rsid w:val="00CB0FB1"/>
    <w:rsid w:val="00CB5061"/>
    <w:rsid w:val="00CC1881"/>
    <w:rsid w:val="00CC2228"/>
    <w:rsid w:val="00CE583C"/>
    <w:rsid w:val="00CF255D"/>
    <w:rsid w:val="00CF2FD4"/>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D0A65"/>
    <w:rsid w:val="00DD1278"/>
    <w:rsid w:val="00DD13F1"/>
    <w:rsid w:val="00DD182F"/>
    <w:rsid w:val="00DE55CA"/>
    <w:rsid w:val="00DF0D25"/>
    <w:rsid w:val="00DF4B54"/>
    <w:rsid w:val="00E01A8D"/>
    <w:rsid w:val="00E14A5A"/>
    <w:rsid w:val="00E22833"/>
    <w:rsid w:val="00E22E4C"/>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305C"/>
    <w:rsid w:val="00E8484C"/>
    <w:rsid w:val="00E863ED"/>
    <w:rsid w:val="00EA1831"/>
    <w:rsid w:val="00EA587A"/>
    <w:rsid w:val="00EB0DE4"/>
    <w:rsid w:val="00EB316F"/>
    <w:rsid w:val="00EB49F1"/>
    <w:rsid w:val="00EC04BE"/>
    <w:rsid w:val="00EC2E94"/>
    <w:rsid w:val="00ED00BE"/>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90114A"/>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ED8B-F5EE-49A1-BD00-CBF85EA37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5</Pages>
  <Words>2422</Words>
  <Characters>11001</Characters>
  <Application>Microsoft Office Word</Application>
  <DocSecurity>0</DocSecurity>
  <Lines>275</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2017-02-21T02:57:00Z</cp:lastPrinted>
  <dcterms:created xsi:type="dcterms:W3CDTF">2017-04-26T17:40:00Z</dcterms:created>
  <dcterms:modified xsi:type="dcterms:W3CDTF">2017-04-26T18:45:00Z</dcterms:modified>
</cp:coreProperties>
</file>