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2FD" w:rsidRPr="001712FD" w:rsidRDefault="001712FD" w:rsidP="00A44004">
      <w:pPr>
        <w:jc w:val="center"/>
        <w:rPr>
          <w:sz w:val="22"/>
        </w:rPr>
      </w:pPr>
    </w:p>
    <w:p w:rsidR="00AD5AB7" w:rsidRPr="00AB4A3E" w:rsidRDefault="00AD5AB7" w:rsidP="00AD5AB7">
      <w:pPr>
        <w:pStyle w:val="Piedepgina"/>
        <w:ind w:left="709"/>
        <w:jc w:val="both"/>
        <w:rPr>
          <w:rFonts w:ascii="Helvetica" w:hAnsi="Helvetica" w:cs="Calibri"/>
        </w:rPr>
      </w:pPr>
    </w:p>
    <w:p w:rsidR="00AD5AB7" w:rsidRPr="001712FD" w:rsidRDefault="00AD5AB7" w:rsidP="001712FD">
      <w:pPr>
        <w:pStyle w:val="Prrafodelista"/>
        <w:ind w:left="720"/>
        <w:rPr>
          <w:rFonts w:ascii="Helvetica" w:hAnsi="Helvetica"/>
          <w:b/>
          <w:bCs/>
          <w:kern w:val="32"/>
          <w:sz w:val="28"/>
          <w:szCs w:val="28"/>
        </w:rPr>
      </w:pPr>
      <w:r w:rsidRPr="001712FD">
        <w:rPr>
          <w:rFonts w:ascii="Helvetica" w:hAnsi="Helvetica"/>
          <w:b/>
          <w:bCs/>
          <w:kern w:val="32"/>
          <w:sz w:val="28"/>
          <w:szCs w:val="28"/>
        </w:rPr>
        <w:t>NOTAS DE GESTIÓN ADMINISTRATIVA</w:t>
      </w:r>
    </w:p>
    <w:p w:rsidR="00AD5AB7" w:rsidRPr="00E16225" w:rsidRDefault="00AD5AB7" w:rsidP="00E16225">
      <w:pPr>
        <w:pStyle w:val="Textoindependiente"/>
        <w:tabs>
          <w:tab w:val="center" w:pos="5270"/>
        </w:tabs>
        <w:rPr>
          <w:rFonts w:asciiTheme="minorHAnsi" w:eastAsiaTheme="minorEastAsia" w:hAnsiTheme="minorHAnsi" w:cstheme="minorBidi"/>
          <w:sz w:val="22"/>
          <w:szCs w:val="20"/>
          <w:lang w:val="es-MX" w:eastAsia="en-US"/>
        </w:rPr>
      </w:pPr>
    </w:p>
    <w:p w:rsidR="00E16225" w:rsidRPr="00E16225" w:rsidRDefault="00E16225" w:rsidP="00E16225">
      <w:pPr>
        <w:pStyle w:val="Piedepgina"/>
        <w:ind w:left="709"/>
        <w:jc w:val="both"/>
        <w:rPr>
          <w:rFonts w:ascii="Helvetica" w:hAnsi="Helvetica"/>
          <w:b/>
        </w:rPr>
      </w:pPr>
      <w:r w:rsidRPr="00E16225">
        <w:rPr>
          <w:rFonts w:ascii="Helvetica" w:hAnsi="Helvetica"/>
          <w:b/>
        </w:rPr>
        <w:t>Introducción</w:t>
      </w:r>
      <w:bookmarkStart w:id="0" w:name="_GoBack"/>
      <w:bookmarkEnd w:id="0"/>
    </w:p>
    <w:p w:rsidR="008E4A19" w:rsidRDefault="008E4A19" w:rsidP="00E16225">
      <w:pPr>
        <w:pStyle w:val="Textoindependiente"/>
        <w:tabs>
          <w:tab w:val="left" w:pos="6075"/>
        </w:tabs>
        <w:rPr>
          <w:rFonts w:asciiTheme="minorHAnsi" w:eastAsiaTheme="minorEastAsia" w:hAnsiTheme="minorHAnsi" w:cstheme="minorBidi"/>
          <w:sz w:val="22"/>
          <w:szCs w:val="20"/>
          <w:lang w:val="es-MX" w:eastAsia="en-US"/>
        </w:rPr>
      </w:pPr>
    </w:p>
    <w:p w:rsidR="00E16225" w:rsidRP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r w:rsidRPr="00E16225">
        <w:rPr>
          <w:rFonts w:asciiTheme="minorHAnsi" w:eastAsiaTheme="minorEastAsia" w:hAnsiTheme="minorHAnsi" w:cstheme="minorBidi"/>
          <w:sz w:val="22"/>
          <w:szCs w:val="20"/>
          <w:lang w:val="es-MX" w:eastAsia="en-US"/>
        </w:rPr>
        <w:t xml:space="preserve">De conformidad con lo que establece la Ley General </w:t>
      </w:r>
      <w:r>
        <w:rPr>
          <w:rFonts w:asciiTheme="minorHAnsi" w:eastAsiaTheme="minorEastAsia" w:hAnsiTheme="minorHAnsi" w:cstheme="minorBidi"/>
          <w:sz w:val="22"/>
          <w:szCs w:val="20"/>
          <w:lang w:val="es-MX" w:eastAsia="en-US"/>
        </w:rPr>
        <w:t xml:space="preserve">de Contabilidad Gubernamental y </w:t>
      </w:r>
      <w:r w:rsidRPr="00E16225">
        <w:rPr>
          <w:rFonts w:asciiTheme="minorHAnsi" w:eastAsiaTheme="minorEastAsia" w:hAnsiTheme="minorHAnsi" w:cstheme="minorBidi"/>
          <w:sz w:val="22"/>
          <w:szCs w:val="20"/>
          <w:lang w:val="es-MX" w:eastAsia="en-US"/>
        </w:rPr>
        <w:t>los Lineamientos emitidos por el Consejo Na</w:t>
      </w:r>
      <w:r>
        <w:rPr>
          <w:rFonts w:asciiTheme="minorHAnsi" w:eastAsiaTheme="minorEastAsia" w:hAnsiTheme="minorHAnsi" w:cstheme="minorBidi"/>
          <w:sz w:val="22"/>
          <w:szCs w:val="20"/>
          <w:lang w:val="es-MX" w:eastAsia="en-US"/>
        </w:rPr>
        <w:t xml:space="preserve">cional de Armonización Contable </w:t>
      </w:r>
      <w:r w:rsidRPr="00E16225">
        <w:rPr>
          <w:rFonts w:asciiTheme="minorHAnsi" w:eastAsiaTheme="minorEastAsia" w:hAnsiTheme="minorHAnsi" w:cstheme="minorBidi"/>
          <w:sz w:val="22"/>
          <w:szCs w:val="20"/>
          <w:lang w:val="es-MX" w:eastAsia="en-US"/>
        </w:rPr>
        <w:t>(CONAC) y demás disposiciones que establecen las</w:t>
      </w:r>
      <w:r>
        <w:rPr>
          <w:rFonts w:asciiTheme="minorHAnsi" w:eastAsiaTheme="minorEastAsia" w:hAnsiTheme="minorHAnsi" w:cstheme="minorBidi"/>
          <w:sz w:val="22"/>
          <w:szCs w:val="20"/>
          <w:lang w:val="es-MX" w:eastAsia="en-US"/>
        </w:rPr>
        <w:t xml:space="preserve"> diversas instancias que tienen </w:t>
      </w:r>
      <w:r w:rsidRPr="00E16225">
        <w:rPr>
          <w:rFonts w:asciiTheme="minorHAnsi" w:eastAsiaTheme="minorEastAsia" w:hAnsiTheme="minorHAnsi" w:cstheme="minorBidi"/>
          <w:sz w:val="22"/>
          <w:szCs w:val="20"/>
          <w:lang w:val="es-MX" w:eastAsia="en-US"/>
        </w:rPr>
        <w:t xml:space="preserve">injerencia en esta materia, el </w:t>
      </w:r>
      <w:r w:rsidR="008E4A19">
        <w:rPr>
          <w:rFonts w:asciiTheme="minorHAnsi" w:eastAsiaTheme="minorEastAsia" w:hAnsiTheme="minorHAnsi" w:cstheme="minorBidi"/>
          <w:sz w:val="22"/>
          <w:szCs w:val="20"/>
          <w:lang w:val="es-MX" w:eastAsia="en-US"/>
        </w:rPr>
        <w:t>Municipio</w:t>
      </w:r>
      <w:r w:rsidRPr="00E16225">
        <w:rPr>
          <w:rFonts w:asciiTheme="minorHAnsi" w:eastAsiaTheme="minorEastAsia" w:hAnsiTheme="minorHAnsi" w:cstheme="minorBidi"/>
          <w:sz w:val="22"/>
          <w:szCs w:val="20"/>
          <w:lang w:val="es-MX" w:eastAsia="en-US"/>
        </w:rPr>
        <w:t xml:space="preserve"> p</w:t>
      </w:r>
      <w:r>
        <w:rPr>
          <w:rFonts w:asciiTheme="minorHAnsi" w:eastAsiaTheme="minorEastAsia" w:hAnsiTheme="minorHAnsi" w:cstheme="minorBidi"/>
          <w:sz w:val="22"/>
          <w:szCs w:val="20"/>
          <w:lang w:val="es-MX" w:eastAsia="en-US"/>
        </w:rPr>
        <w:t xml:space="preserve">resenta los Estados Financieros </w:t>
      </w:r>
      <w:r w:rsidRPr="00E16225">
        <w:rPr>
          <w:rFonts w:asciiTheme="minorHAnsi" w:eastAsiaTheme="minorEastAsia" w:hAnsiTheme="minorHAnsi" w:cstheme="minorBidi"/>
          <w:sz w:val="22"/>
          <w:szCs w:val="20"/>
          <w:lang w:val="es-MX" w:eastAsia="en-US"/>
        </w:rPr>
        <w:t xml:space="preserve">correspondientes </w:t>
      </w:r>
      <w:r w:rsidR="00E111E8">
        <w:rPr>
          <w:rFonts w:asciiTheme="minorHAnsi" w:eastAsiaTheme="minorEastAsia" w:hAnsiTheme="minorHAnsi" w:cstheme="minorBidi"/>
          <w:sz w:val="22"/>
          <w:szCs w:val="20"/>
          <w:lang w:val="es-MX" w:eastAsia="en-US"/>
        </w:rPr>
        <w:t>al ejercicio fiscal 2016</w:t>
      </w:r>
      <w:r w:rsidRPr="00E16225">
        <w:rPr>
          <w:rFonts w:asciiTheme="minorHAnsi" w:eastAsiaTheme="minorEastAsia" w:hAnsiTheme="minorHAnsi" w:cstheme="minorBidi"/>
          <w:sz w:val="22"/>
          <w:szCs w:val="20"/>
          <w:lang w:val="es-MX" w:eastAsia="en-US"/>
        </w:rPr>
        <w:t>.</w:t>
      </w:r>
    </w:p>
    <w:p w:rsid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p>
    <w:p w:rsidR="00E16225" w:rsidRP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r w:rsidRPr="00E16225">
        <w:rPr>
          <w:rFonts w:asciiTheme="minorHAnsi" w:eastAsiaTheme="minorEastAsia" w:hAnsiTheme="minorHAnsi" w:cstheme="minorBidi"/>
          <w:sz w:val="22"/>
          <w:szCs w:val="20"/>
          <w:lang w:val="es-MX" w:eastAsia="en-US"/>
        </w:rPr>
        <w:t>Estos documentos expresan las transacciones y op</w:t>
      </w:r>
      <w:r w:rsidR="008E4A19">
        <w:rPr>
          <w:rFonts w:asciiTheme="minorHAnsi" w:eastAsiaTheme="minorEastAsia" w:hAnsiTheme="minorHAnsi" w:cstheme="minorBidi"/>
          <w:sz w:val="22"/>
          <w:szCs w:val="20"/>
          <w:lang w:val="es-MX" w:eastAsia="en-US"/>
        </w:rPr>
        <w:t xml:space="preserve">eraciones económicas realizadas </w:t>
      </w:r>
      <w:r w:rsidRPr="00E16225">
        <w:rPr>
          <w:rFonts w:asciiTheme="minorHAnsi" w:eastAsiaTheme="minorEastAsia" w:hAnsiTheme="minorHAnsi" w:cstheme="minorBidi"/>
          <w:sz w:val="22"/>
          <w:szCs w:val="20"/>
          <w:lang w:val="es-MX" w:eastAsia="en-US"/>
        </w:rPr>
        <w:t xml:space="preserve">por las </w:t>
      </w:r>
      <w:r w:rsidR="008E4A19">
        <w:rPr>
          <w:rFonts w:asciiTheme="minorHAnsi" w:eastAsiaTheme="minorEastAsia" w:hAnsiTheme="minorHAnsi" w:cstheme="minorBidi"/>
          <w:sz w:val="22"/>
          <w:szCs w:val="20"/>
          <w:lang w:val="es-MX" w:eastAsia="en-US"/>
        </w:rPr>
        <w:t xml:space="preserve">Unidades Administrativas que conforman el Ayuntamiento, de acuerdo a </w:t>
      </w:r>
      <w:r w:rsidRPr="00E16225">
        <w:rPr>
          <w:rFonts w:asciiTheme="minorHAnsi" w:eastAsiaTheme="minorEastAsia" w:hAnsiTheme="minorHAnsi" w:cstheme="minorBidi"/>
          <w:sz w:val="22"/>
          <w:szCs w:val="20"/>
          <w:lang w:val="es-MX" w:eastAsia="en-US"/>
        </w:rPr>
        <w:t xml:space="preserve">los principios y políticas contables mediante las cuales </w:t>
      </w:r>
      <w:r w:rsidR="008E4A19">
        <w:rPr>
          <w:rFonts w:asciiTheme="minorHAnsi" w:eastAsiaTheme="minorEastAsia" w:hAnsiTheme="minorHAnsi" w:cstheme="minorBidi"/>
          <w:sz w:val="22"/>
          <w:szCs w:val="20"/>
          <w:lang w:val="es-MX" w:eastAsia="en-US"/>
        </w:rPr>
        <w:t xml:space="preserve">fueron elaborados los registros </w:t>
      </w:r>
      <w:r w:rsidRPr="00E16225">
        <w:rPr>
          <w:rFonts w:asciiTheme="minorHAnsi" w:eastAsiaTheme="minorEastAsia" w:hAnsiTheme="minorHAnsi" w:cstheme="minorBidi"/>
          <w:sz w:val="22"/>
          <w:szCs w:val="20"/>
          <w:lang w:val="es-MX" w:eastAsia="en-US"/>
        </w:rPr>
        <w:t>y la documentación financiera correspondiente.</w:t>
      </w:r>
    </w:p>
    <w:p w:rsidR="008E4A19" w:rsidRDefault="008E4A19" w:rsidP="00E16225">
      <w:pPr>
        <w:pStyle w:val="Textoindependiente"/>
        <w:tabs>
          <w:tab w:val="left" w:pos="6075"/>
        </w:tabs>
        <w:rPr>
          <w:rFonts w:asciiTheme="minorHAnsi" w:eastAsiaTheme="minorEastAsia" w:hAnsiTheme="minorHAnsi" w:cstheme="minorBidi"/>
          <w:sz w:val="22"/>
          <w:szCs w:val="20"/>
          <w:lang w:val="es-MX" w:eastAsia="en-US"/>
        </w:rPr>
      </w:pPr>
    </w:p>
    <w:p w:rsidR="00E16225" w:rsidRP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r w:rsidRPr="00E16225">
        <w:rPr>
          <w:rFonts w:asciiTheme="minorHAnsi" w:eastAsiaTheme="minorEastAsia" w:hAnsiTheme="minorHAnsi" w:cstheme="minorBidi"/>
          <w:sz w:val="22"/>
          <w:szCs w:val="20"/>
          <w:lang w:val="es-MX" w:eastAsia="en-US"/>
        </w:rPr>
        <w:t>Para una mayor exposición de la información financiera</w:t>
      </w:r>
      <w:r w:rsidR="008E4A19">
        <w:rPr>
          <w:rFonts w:asciiTheme="minorHAnsi" w:eastAsiaTheme="minorEastAsia" w:hAnsiTheme="minorHAnsi" w:cstheme="minorBidi"/>
          <w:sz w:val="22"/>
          <w:szCs w:val="20"/>
          <w:lang w:val="es-MX" w:eastAsia="en-US"/>
        </w:rPr>
        <w:t xml:space="preserve"> se incluyen diversas notas que </w:t>
      </w:r>
      <w:r w:rsidRPr="00E16225">
        <w:rPr>
          <w:rFonts w:asciiTheme="minorHAnsi" w:eastAsiaTheme="minorEastAsia" w:hAnsiTheme="minorHAnsi" w:cstheme="minorBidi"/>
          <w:sz w:val="22"/>
          <w:szCs w:val="20"/>
          <w:lang w:val="es-MX" w:eastAsia="en-US"/>
        </w:rPr>
        <w:t>amplían el contexto dentro del cual se g</w:t>
      </w:r>
      <w:r w:rsidR="008E4A19">
        <w:rPr>
          <w:rFonts w:asciiTheme="minorHAnsi" w:eastAsiaTheme="minorEastAsia" w:hAnsiTheme="minorHAnsi" w:cstheme="minorBidi"/>
          <w:sz w:val="22"/>
          <w:szCs w:val="20"/>
          <w:lang w:val="es-MX" w:eastAsia="en-US"/>
        </w:rPr>
        <w:t xml:space="preserve">eneraron los datos. </w:t>
      </w:r>
      <w:r w:rsidRPr="00E16225">
        <w:rPr>
          <w:rFonts w:asciiTheme="minorHAnsi" w:eastAsiaTheme="minorEastAsia" w:hAnsiTheme="minorHAnsi" w:cstheme="minorBidi"/>
          <w:sz w:val="22"/>
          <w:szCs w:val="20"/>
          <w:lang w:val="es-MX" w:eastAsia="en-US"/>
        </w:rPr>
        <w:t>Con el mismo fin, a continuación se presenta una breve</w:t>
      </w:r>
      <w:r w:rsidR="008E4A19">
        <w:rPr>
          <w:rFonts w:asciiTheme="minorHAnsi" w:eastAsiaTheme="minorEastAsia" w:hAnsiTheme="minorHAnsi" w:cstheme="minorBidi"/>
          <w:sz w:val="22"/>
          <w:szCs w:val="20"/>
          <w:lang w:val="es-MX" w:eastAsia="en-US"/>
        </w:rPr>
        <w:t xml:space="preserve"> descripción de la estructura y </w:t>
      </w:r>
      <w:r w:rsidRPr="00E16225">
        <w:rPr>
          <w:rFonts w:asciiTheme="minorHAnsi" w:eastAsiaTheme="minorEastAsia" w:hAnsiTheme="minorHAnsi" w:cstheme="minorBidi"/>
          <w:sz w:val="22"/>
          <w:szCs w:val="20"/>
          <w:lang w:val="es-MX" w:eastAsia="en-US"/>
        </w:rPr>
        <w:t xml:space="preserve">el contenido de la Información Financiera del Gobierno del </w:t>
      </w:r>
      <w:r w:rsidR="008E4A19">
        <w:rPr>
          <w:rFonts w:asciiTheme="minorHAnsi" w:eastAsiaTheme="minorEastAsia" w:hAnsiTheme="minorHAnsi" w:cstheme="minorBidi"/>
          <w:sz w:val="22"/>
          <w:szCs w:val="20"/>
          <w:lang w:val="es-MX" w:eastAsia="en-US"/>
        </w:rPr>
        <w:t>Municipio de Atlixco</w:t>
      </w:r>
      <w:r w:rsidRPr="00E16225">
        <w:rPr>
          <w:rFonts w:asciiTheme="minorHAnsi" w:eastAsiaTheme="minorEastAsia" w:hAnsiTheme="minorHAnsi" w:cstheme="minorBidi"/>
          <w:sz w:val="22"/>
          <w:szCs w:val="20"/>
          <w:lang w:val="es-MX" w:eastAsia="en-US"/>
        </w:rPr>
        <w:t xml:space="preserve"> para el ejercicio fiscal 201</w:t>
      </w:r>
      <w:r w:rsidR="00E111E8">
        <w:rPr>
          <w:rFonts w:asciiTheme="minorHAnsi" w:eastAsiaTheme="minorEastAsia" w:hAnsiTheme="minorHAnsi" w:cstheme="minorBidi"/>
          <w:sz w:val="22"/>
          <w:szCs w:val="20"/>
          <w:lang w:val="es-MX" w:eastAsia="en-US"/>
        </w:rPr>
        <w:t>6</w:t>
      </w:r>
      <w:r w:rsidRPr="00E16225">
        <w:rPr>
          <w:rFonts w:asciiTheme="minorHAnsi" w:eastAsiaTheme="minorEastAsia" w:hAnsiTheme="minorHAnsi" w:cstheme="minorBidi"/>
          <w:sz w:val="22"/>
          <w:szCs w:val="20"/>
          <w:lang w:val="es-MX" w:eastAsia="en-US"/>
        </w:rPr>
        <w:t>.</w:t>
      </w:r>
      <w:r w:rsidRPr="00E16225">
        <w:rPr>
          <w:rFonts w:asciiTheme="minorHAnsi" w:eastAsiaTheme="minorEastAsia" w:hAnsiTheme="minorHAnsi" w:cstheme="minorBidi"/>
          <w:sz w:val="22"/>
          <w:szCs w:val="20"/>
          <w:lang w:val="es-MX" w:eastAsia="en-US"/>
        </w:rPr>
        <w:tab/>
      </w:r>
    </w:p>
    <w:p w:rsidR="008E4A19" w:rsidRDefault="008E4A19" w:rsidP="008E4A19">
      <w:pPr>
        <w:pStyle w:val="Piedepgina"/>
        <w:ind w:left="709"/>
        <w:jc w:val="both"/>
        <w:rPr>
          <w:rFonts w:ascii="Helvetica" w:hAnsi="Helvetica"/>
          <w:b/>
        </w:rPr>
      </w:pPr>
    </w:p>
    <w:p w:rsidR="00E16225" w:rsidRPr="008E4A19" w:rsidRDefault="008E4A19" w:rsidP="008E4A19">
      <w:pPr>
        <w:pStyle w:val="Piedepgina"/>
        <w:ind w:left="709"/>
        <w:jc w:val="both"/>
        <w:rPr>
          <w:rFonts w:ascii="Helvetica" w:hAnsi="Helvetica"/>
          <w:b/>
        </w:rPr>
      </w:pPr>
      <w:r>
        <w:rPr>
          <w:rFonts w:ascii="Helvetica" w:hAnsi="Helvetica"/>
          <w:b/>
        </w:rPr>
        <w:t>Historia</w:t>
      </w:r>
    </w:p>
    <w:p w:rsidR="00E16225" w:rsidRP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r>
        <w:rPr>
          <w:rFonts w:asciiTheme="minorHAnsi" w:eastAsiaTheme="minorEastAsia" w:hAnsiTheme="minorHAnsi" w:cstheme="minorBidi"/>
          <w:sz w:val="22"/>
          <w:szCs w:val="20"/>
          <w:lang w:val="es-MX" w:eastAsia="en-US"/>
        </w:rPr>
        <w:t>Atlixco de las flores</w:t>
      </w:r>
      <w:r w:rsidRPr="00E16225">
        <w:rPr>
          <w:rFonts w:asciiTheme="minorHAnsi" w:eastAsiaTheme="minorEastAsia" w:hAnsiTheme="minorHAnsi" w:cstheme="minorBidi"/>
          <w:sz w:val="22"/>
          <w:szCs w:val="20"/>
          <w:lang w:val="es-MX" w:eastAsia="en-US"/>
        </w:rPr>
        <w:t>, es una ciudad que se localiza al suroeste de la Ciudad de Puebla</w:t>
      </w:r>
      <w:r>
        <w:rPr>
          <w:rFonts w:asciiTheme="minorHAnsi" w:eastAsiaTheme="minorEastAsia" w:hAnsiTheme="minorHAnsi" w:cstheme="minorBidi"/>
          <w:sz w:val="22"/>
          <w:szCs w:val="20"/>
          <w:lang w:val="es-MX" w:eastAsia="en-US"/>
        </w:rPr>
        <w:t>. Recibió su título de Heroica</w:t>
      </w:r>
      <w:r w:rsidRPr="00E16225">
        <w:rPr>
          <w:rFonts w:asciiTheme="minorHAnsi" w:eastAsiaTheme="minorEastAsia" w:hAnsiTheme="minorHAnsi" w:cstheme="minorBidi"/>
          <w:sz w:val="22"/>
          <w:szCs w:val="20"/>
          <w:lang w:val="es-MX" w:eastAsia="en-US"/>
        </w:rPr>
        <w:t xml:space="preserve"> debido a la Batalla del 4 de mayo de 1862 que precedería a la Batalla de Puebla del 5 de mayo de 1862.</w:t>
      </w:r>
    </w:p>
    <w:p w:rsidR="00E16225" w:rsidRP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p>
    <w:p w:rsidR="00E16225" w:rsidRP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r w:rsidRPr="00E16225">
        <w:rPr>
          <w:rFonts w:asciiTheme="minorHAnsi" w:eastAsiaTheme="minorEastAsia" w:hAnsiTheme="minorHAnsi" w:cstheme="minorBidi"/>
          <w:sz w:val="22"/>
          <w:szCs w:val="20"/>
          <w:lang w:val="es-MX" w:eastAsia="en-US"/>
        </w:rPr>
        <w:t>Es conocido por su buen clima y la gran actividad florística, comercial y turística que le valieron haber sido llamada Atlixco de las Flores y Granero de la Nueva España, durante la época colonial.</w:t>
      </w:r>
    </w:p>
    <w:p w:rsidR="00E16225" w:rsidRP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p>
    <w:p w:rsidR="00E16225" w:rsidRP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r w:rsidRPr="00E16225">
        <w:rPr>
          <w:rFonts w:asciiTheme="minorHAnsi" w:eastAsiaTheme="minorEastAsia" w:hAnsiTheme="minorHAnsi" w:cstheme="minorBidi"/>
          <w:sz w:val="22"/>
          <w:szCs w:val="20"/>
          <w:lang w:val="es-MX" w:eastAsia="en-US"/>
        </w:rPr>
        <w:t>El último domingo de septiembre, en la explanada del cerro de San Miguel, Atlixco se convierte en la sede de un festival en el que se reúnen los representantes de las once regiones culturales del estado de Puebla, festival q</w:t>
      </w:r>
      <w:r>
        <w:rPr>
          <w:rFonts w:asciiTheme="minorHAnsi" w:eastAsiaTheme="minorEastAsia" w:hAnsiTheme="minorHAnsi" w:cstheme="minorBidi"/>
          <w:sz w:val="22"/>
          <w:szCs w:val="20"/>
          <w:lang w:val="es-MX" w:eastAsia="en-US"/>
        </w:rPr>
        <w:t xml:space="preserve">ue es llamado </w:t>
      </w:r>
      <w:proofErr w:type="spellStart"/>
      <w:r>
        <w:rPr>
          <w:rFonts w:asciiTheme="minorHAnsi" w:eastAsiaTheme="minorEastAsia" w:hAnsiTheme="minorHAnsi" w:cstheme="minorBidi"/>
          <w:sz w:val="22"/>
          <w:szCs w:val="20"/>
          <w:lang w:val="es-MX" w:eastAsia="en-US"/>
        </w:rPr>
        <w:t>Huey</w:t>
      </w:r>
      <w:proofErr w:type="spellEnd"/>
      <w:r>
        <w:rPr>
          <w:rFonts w:asciiTheme="minorHAnsi" w:eastAsiaTheme="minorEastAsia" w:hAnsiTheme="minorHAnsi" w:cstheme="minorBidi"/>
          <w:sz w:val="22"/>
          <w:szCs w:val="20"/>
          <w:lang w:val="es-MX" w:eastAsia="en-US"/>
        </w:rPr>
        <w:t xml:space="preserve"> </w:t>
      </w:r>
      <w:proofErr w:type="spellStart"/>
      <w:r>
        <w:rPr>
          <w:rFonts w:asciiTheme="minorHAnsi" w:eastAsiaTheme="minorEastAsia" w:hAnsiTheme="minorHAnsi" w:cstheme="minorBidi"/>
          <w:sz w:val="22"/>
          <w:szCs w:val="20"/>
          <w:lang w:val="es-MX" w:eastAsia="en-US"/>
        </w:rPr>
        <w:t>Atlixcáyotl</w:t>
      </w:r>
      <w:proofErr w:type="spellEnd"/>
      <w:r w:rsidRPr="00E16225">
        <w:rPr>
          <w:rFonts w:asciiTheme="minorHAnsi" w:eastAsiaTheme="minorEastAsia" w:hAnsiTheme="minorHAnsi" w:cstheme="minorBidi"/>
          <w:sz w:val="22"/>
          <w:szCs w:val="20"/>
          <w:lang w:val="es-MX" w:eastAsia="en-US"/>
        </w:rPr>
        <w:t xml:space="preserve"> o Fiesta Grande de Atlixco y que es patrimonio cultural del estado de Puebla.</w:t>
      </w:r>
    </w:p>
    <w:p w:rsidR="00E16225" w:rsidRP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p>
    <w:p w:rsidR="00AD5AB7" w:rsidRP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r w:rsidRPr="00E16225">
        <w:rPr>
          <w:rFonts w:asciiTheme="minorHAnsi" w:eastAsiaTheme="minorEastAsia" w:hAnsiTheme="minorHAnsi" w:cstheme="minorBidi"/>
          <w:sz w:val="22"/>
          <w:szCs w:val="20"/>
          <w:lang w:val="es-MX" w:eastAsia="en-US"/>
        </w:rPr>
        <w:t>En 1884, el Congreso local decretó que la cabecera municipal de Atlixco se llamara Atlixco de Múgica y Osorio; en honor al Benemérito del Estado de Puebla, Juan Múgica y Osorio.</w:t>
      </w:r>
    </w:p>
    <w:p w:rsid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p>
    <w:p w:rsidR="00AD5AB7" w:rsidRPr="00E16225" w:rsidRDefault="00AD5AB7" w:rsidP="00AD5AB7">
      <w:pPr>
        <w:pStyle w:val="Piedepgina"/>
        <w:ind w:left="709"/>
        <w:jc w:val="both"/>
        <w:rPr>
          <w:rFonts w:ascii="Helvetica" w:hAnsi="Helvetica"/>
          <w:b/>
        </w:rPr>
      </w:pPr>
      <w:r w:rsidRPr="00E16225">
        <w:rPr>
          <w:rFonts w:ascii="Helvetica" w:hAnsi="Helvetica"/>
          <w:b/>
        </w:rPr>
        <w:lastRenderedPageBreak/>
        <w:t>Bases de Preparación de los Estados Financieros</w:t>
      </w:r>
    </w:p>
    <w:p w:rsidR="00AD5AB7" w:rsidRPr="00E16225" w:rsidRDefault="00AD5AB7" w:rsidP="00AD5AB7">
      <w:pPr>
        <w:pStyle w:val="Piedepgina"/>
        <w:ind w:left="709"/>
        <w:jc w:val="both"/>
        <w:rPr>
          <w:rFonts w:ascii="Helvetica" w:hAnsi="Helvetica"/>
          <w:b/>
        </w:rPr>
      </w:pPr>
    </w:p>
    <w:p w:rsidR="00AD5AB7" w:rsidRPr="001712FD" w:rsidRDefault="00AD5AB7" w:rsidP="00E16225">
      <w:pPr>
        <w:pStyle w:val="Piedepgina"/>
        <w:jc w:val="both"/>
        <w:rPr>
          <w:sz w:val="22"/>
        </w:rPr>
      </w:pPr>
      <w:r w:rsidRPr="001712FD">
        <w:rPr>
          <w:sz w:val="22"/>
        </w:rPr>
        <w:t xml:space="preserve">Fueron formulados en base a la Ley General de Contabilidad Gubernamental y los Acuerdos y Lineamientos emitidos por el Consejo de Armonización Contable (CONAC) y por el Consejo de Armonización Contable </w:t>
      </w:r>
      <w:r w:rsidR="001712FD" w:rsidRPr="001712FD">
        <w:rPr>
          <w:sz w:val="22"/>
        </w:rPr>
        <w:t>para el E</w:t>
      </w:r>
      <w:r w:rsidRPr="001712FD">
        <w:rPr>
          <w:sz w:val="22"/>
        </w:rPr>
        <w:t xml:space="preserve">stado </w:t>
      </w:r>
      <w:r w:rsidR="001712FD" w:rsidRPr="001712FD">
        <w:rPr>
          <w:sz w:val="22"/>
        </w:rPr>
        <w:t xml:space="preserve">Libre y Soberano </w:t>
      </w:r>
      <w:r w:rsidRPr="001712FD">
        <w:rPr>
          <w:sz w:val="22"/>
        </w:rPr>
        <w:t>de Puebla (CACEP).</w:t>
      </w:r>
    </w:p>
    <w:p w:rsidR="00AD5AB7" w:rsidRPr="001712FD" w:rsidRDefault="00AD5AB7" w:rsidP="00AD5AB7">
      <w:pPr>
        <w:pStyle w:val="Piedepgina"/>
        <w:ind w:left="709"/>
        <w:jc w:val="both"/>
        <w:rPr>
          <w:sz w:val="22"/>
        </w:rPr>
      </w:pPr>
    </w:p>
    <w:p w:rsidR="00AD5AB7" w:rsidRPr="00C065FB" w:rsidRDefault="00AD5AB7" w:rsidP="00AD5AB7">
      <w:pPr>
        <w:pStyle w:val="Piedepgina"/>
        <w:ind w:left="709"/>
        <w:jc w:val="both"/>
        <w:rPr>
          <w:rFonts w:ascii="Helvetica" w:hAnsi="Helvetica"/>
          <w:b/>
        </w:rPr>
      </w:pPr>
      <w:r w:rsidRPr="00C065FB">
        <w:rPr>
          <w:rFonts w:ascii="Helvetica" w:hAnsi="Helvetica"/>
          <w:b/>
        </w:rPr>
        <w:t>Características del Sistema de Contabilidad Gubernamental (SCG)</w:t>
      </w:r>
    </w:p>
    <w:p w:rsidR="008E4A19" w:rsidRDefault="008E4A19" w:rsidP="008E4A19">
      <w:pPr>
        <w:pStyle w:val="Piedepgina"/>
        <w:jc w:val="both"/>
        <w:rPr>
          <w:rFonts w:ascii="Helvetica" w:hAnsi="Helvetica"/>
          <w:b/>
        </w:rPr>
      </w:pPr>
    </w:p>
    <w:p w:rsidR="00CD0380" w:rsidRDefault="00AD5AB7" w:rsidP="008E4A19">
      <w:pPr>
        <w:pStyle w:val="Piedepgina"/>
        <w:jc w:val="both"/>
        <w:rPr>
          <w:sz w:val="22"/>
        </w:rPr>
      </w:pPr>
      <w:r w:rsidRPr="001712FD">
        <w:rPr>
          <w:sz w:val="22"/>
        </w:rPr>
        <w:t xml:space="preserve">El Sistema </w:t>
      </w:r>
      <w:r w:rsidR="001712FD" w:rsidRPr="001712FD">
        <w:rPr>
          <w:sz w:val="22"/>
        </w:rPr>
        <w:t xml:space="preserve">que </w:t>
      </w:r>
      <w:r w:rsidR="00CD0380">
        <w:rPr>
          <w:sz w:val="22"/>
        </w:rPr>
        <w:t xml:space="preserve">utiliza el </w:t>
      </w:r>
      <w:r w:rsidR="008E4A19">
        <w:rPr>
          <w:sz w:val="22"/>
        </w:rPr>
        <w:t>Municipio</w:t>
      </w:r>
      <w:r w:rsidR="00CD0380">
        <w:rPr>
          <w:sz w:val="22"/>
        </w:rPr>
        <w:t xml:space="preserve"> para el registro de sus operaciones presupuestales y contables es el </w:t>
      </w:r>
      <w:r w:rsidR="008E4A19">
        <w:rPr>
          <w:sz w:val="22"/>
        </w:rPr>
        <w:t xml:space="preserve">Nuevo </w:t>
      </w:r>
      <w:r w:rsidR="00CD0380">
        <w:rPr>
          <w:sz w:val="22"/>
        </w:rPr>
        <w:t xml:space="preserve">Sistema </w:t>
      </w:r>
      <w:r w:rsidR="008E4A19">
        <w:rPr>
          <w:sz w:val="22"/>
        </w:rPr>
        <w:t>Armonizado de Rendición de Cuentas (NSARC)</w:t>
      </w:r>
      <w:r w:rsidR="00CD0380">
        <w:rPr>
          <w:sz w:val="22"/>
        </w:rPr>
        <w:t xml:space="preserve"> mismo que cumple con los requerimientos mínimos establecidos en los lineamientos emitidos por el Consejo Nacional de Armonización Contable.</w:t>
      </w:r>
    </w:p>
    <w:p w:rsidR="00AD5AB7" w:rsidRPr="001712FD" w:rsidRDefault="00CD0380" w:rsidP="008E4A19">
      <w:pPr>
        <w:pStyle w:val="Piedepgina"/>
        <w:jc w:val="both"/>
        <w:rPr>
          <w:sz w:val="22"/>
        </w:rPr>
      </w:pPr>
      <w:r>
        <w:rPr>
          <w:sz w:val="22"/>
        </w:rPr>
        <w:t>El sistema, registra</w:t>
      </w:r>
      <w:r w:rsidR="00AD5AB7" w:rsidRPr="001712FD">
        <w:rPr>
          <w:sz w:val="22"/>
        </w:rPr>
        <w:t xml:space="preserve"> de manera armónica, delimitada y específica las operaciones presupuestarias y contables derivadas de los registros contables y presupuestarios, Asimismo, generará estados financieros, confiables, oportunos, comprensibles, periódicos y comparables,</w:t>
      </w:r>
    </w:p>
    <w:p w:rsidR="00AD5AB7" w:rsidRPr="001712FD" w:rsidRDefault="00CD0380" w:rsidP="008E4A19">
      <w:pPr>
        <w:pStyle w:val="Piedepgina"/>
        <w:jc w:val="both"/>
        <w:rPr>
          <w:sz w:val="22"/>
        </w:rPr>
      </w:pPr>
      <w:r>
        <w:rPr>
          <w:sz w:val="22"/>
        </w:rPr>
        <w:t>Así mismo, el sistema efectúa</w:t>
      </w:r>
      <w:r w:rsidR="00AD5AB7" w:rsidRPr="001712FD">
        <w:rPr>
          <w:sz w:val="22"/>
        </w:rPr>
        <w:t xml:space="preserve"> los registros, procedimientos e informes, estructurados sobre la base de principios técnicos destinados a captar, valuar, registrar, clasificar, informar e interpretar, las transacciones y eventos que, derivados de la actividad económica del </w:t>
      </w:r>
      <w:r w:rsidR="008E4A19">
        <w:rPr>
          <w:sz w:val="22"/>
        </w:rPr>
        <w:t>Municipio</w:t>
      </w:r>
      <w:r w:rsidR="00AD5AB7" w:rsidRPr="001712FD">
        <w:rPr>
          <w:sz w:val="22"/>
        </w:rPr>
        <w:t xml:space="preserve"> que modifican la situación patrimonial.</w:t>
      </w:r>
    </w:p>
    <w:p w:rsidR="00AD5AB7" w:rsidRPr="001712FD" w:rsidRDefault="00AD5AB7" w:rsidP="00AD5AB7">
      <w:pPr>
        <w:pStyle w:val="Piedepgina"/>
        <w:ind w:left="709"/>
        <w:jc w:val="both"/>
        <w:rPr>
          <w:sz w:val="22"/>
        </w:rPr>
      </w:pPr>
    </w:p>
    <w:p w:rsidR="00AD5AB7" w:rsidRPr="00C065FB" w:rsidRDefault="00AD5AB7" w:rsidP="00AD5AB7">
      <w:pPr>
        <w:pStyle w:val="Piedepgina"/>
        <w:ind w:left="709"/>
        <w:jc w:val="both"/>
        <w:rPr>
          <w:rFonts w:ascii="Helvetica" w:hAnsi="Helvetica"/>
          <w:b/>
        </w:rPr>
      </w:pPr>
      <w:r w:rsidRPr="00C065FB">
        <w:rPr>
          <w:rFonts w:ascii="Helvetica" w:hAnsi="Helvetica"/>
          <w:b/>
        </w:rPr>
        <w:t>Políticas de Contabilidad Significativas</w:t>
      </w:r>
    </w:p>
    <w:p w:rsidR="00AD5AB7" w:rsidRPr="00C065FB" w:rsidRDefault="00AD5AB7" w:rsidP="00AD5AB7">
      <w:pPr>
        <w:pStyle w:val="Piedepgina"/>
        <w:ind w:left="709"/>
        <w:jc w:val="both"/>
        <w:rPr>
          <w:rFonts w:ascii="Helvetica" w:hAnsi="Helvetica"/>
          <w:b/>
        </w:rPr>
      </w:pPr>
    </w:p>
    <w:p w:rsidR="00AD5AB7" w:rsidRPr="001712FD" w:rsidRDefault="00AD5AB7" w:rsidP="008E4A19">
      <w:pPr>
        <w:pStyle w:val="Piedepgina"/>
        <w:jc w:val="both"/>
        <w:rPr>
          <w:sz w:val="22"/>
        </w:rPr>
      </w:pPr>
      <w:r w:rsidRPr="001712FD">
        <w:rPr>
          <w:sz w:val="22"/>
        </w:rPr>
        <w:t>El Marco Conceptual de Contabilidad Gubernamental es la base que se utiliza para el desarrollo de normas, valuación, contabilización, obtención y presentación de información contable y presupuestaria, en forma clara, oportuna, confiable y comparable, para satisfacer las necesidades de los usuarios, apegándose a los Postulados Básicos de Contabilidad Gubernamental: Sustancia Económica, Ente Público, Existencia Permanente, Revelación Suficiente, Importancia Relativa, Registro e Integración Presupuestaria, Consolidación de Información Financiera, Devengo Contable, Valuación, dualidad Económica, y Consistencia.</w:t>
      </w:r>
    </w:p>
    <w:p w:rsidR="00AD5AB7" w:rsidRPr="001712FD" w:rsidRDefault="00AD5AB7" w:rsidP="008E4A19">
      <w:pPr>
        <w:pStyle w:val="Piedepgina"/>
        <w:jc w:val="both"/>
        <w:rPr>
          <w:sz w:val="22"/>
        </w:rPr>
      </w:pPr>
      <w:r w:rsidRPr="001712FD">
        <w:rPr>
          <w:sz w:val="22"/>
        </w:rPr>
        <w:t>Respetando y utilizando los Momentos Contables de los Ingresos y Egresos, Estructura del ¨Plan de Cuentas, Clasificador por Objeto de Gasto, Clasificador por Rubro de Ingresos así como las Normas y Metodologías para la Emisión de Información Financiera y Estructura de los Estados Financieros que emitió el Consejo de Armonización Contable (CONAC).</w:t>
      </w:r>
    </w:p>
    <w:p w:rsidR="00AD5AB7" w:rsidRPr="001712FD" w:rsidRDefault="00AD5AB7" w:rsidP="008E4A19">
      <w:pPr>
        <w:pStyle w:val="Piedepgina"/>
        <w:jc w:val="both"/>
        <w:rPr>
          <w:sz w:val="22"/>
        </w:rPr>
      </w:pPr>
      <w:r w:rsidRPr="001712FD">
        <w:rPr>
          <w:sz w:val="22"/>
        </w:rPr>
        <w:t xml:space="preserve">Utilizando las principales Reglas de Registro y Valoración del Patrimonio, y adoptando los Lineamientos para la elaboración del Catálogo de Bienes que </w:t>
      </w:r>
      <w:r w:rsidRPr="001712FD">
        <w:rPr>
          <w:sz w:val="22"/>
        </w:rPr>
        <w:lastRenderedPageBreak/>
        <w:t>permita la interrelación automática con el Clasificador por Objeto del Gasto y la Lista de Cuentas</w:t>
      </w:r>
    </w:p>
    <w:p w:rsidR="00AD5AB7" w:rsidRPr="001712FD" w:rsidRDefault="00AD5AB7" w:rsidP="008E4A19">
      <w:pPr>
        <w:pStyle w:val="Piedepgina"/>
        <w:jc w:val="both"/>
        <w:rPr>
          <w:sz w:val="22"/>
        </w:rPr>
      </w:pPr>
      <w:r w:rsidRPr="001712FD">
        <w:rPr>
          <w:sz w:val="22"/>
        </w:rPr>
        <w:t xml:space="preserve">La Clave Presupuestal fue elaborada respetando la Clasificación Administrativa, Funcional del Gasto, Programática, por Objeto de Gasto y tipo de Gasto y </w:t>
      </w:r>
      <w:r w:rsidR="00CD0380">
        <w:rPr>
          <w:sz w:val="22"/>
        </w:rPr>
        <w:t>Fuente de Financiamiento.</w:t>
      </w:r>
    </w:p>
    <w:p w:rsidR="00AD5AB7" w:rsidRPr="00C065FB" w:rsidRDefault="00AD5AB7" w:rsidP="00AD5AB7">
      <w:pPr>
        <w:pStyle w:val="Piedepgina"/>
        <w:ind w:left="709"/>
        <w:jc w:val="both"/>
        <w:rPr>
          <w:rFonts w:ascii="Helvetica" w:hAnsi="Helvetica"/>
          <w:b/>
        </w:rPr>
      </w:pPr>
    </w:p>
    <w:p w:rsidR="00AD5AB7" w:rsidRDefault="00AD5AB7" w:rsidP="00AD5AB7">
      <w:pPr>
        <w:pStyle w:val="Piedepgina"/>
        <w:ind w:left="709"/>
        <w:jc w:val="both"/>
        <w:rPr>
          <w:rFonts w:ascii="Helvetica" w:hAnsi="Helvetica"/>
          <w:b/>
          <w:highlight w:val="green"/>
        </w:rPr>
      </w:pPr>
    </w:p>
    <w:p w:rsidR="00AD5AB7" w:rsidRPr="001712FD" w:rsidRDefault="00AD5AB7" w:rsidP="001712FD">
      <w:pPr>
        <w:pStyle w:val="Piedepgina"/>
        <w:ind w:left="709"/>
        <w:jc w:val="both"/>
        <w:rPr>
          <w:b/>
          <w:i/>
          <w:sz w:val="22"/>
        </w:rPr>
      </w:pPr>
      <w:r w:rsidRPr="001712FD">
        <w:rPr>
          <w:b/>
          <w:i/>
          <w:sz w:val="22"/>
        </w:rPr>
        <w:t>“Bajo protesta de decir verdad declaramos que los Estados Financieros y sus notas, son razonablemente correctos y son responsabilidad del emisor”.</w:t>
      </w:r>
    </w:p>
    <w:p w:rsidR="000352F7" w:rsidRDefault="000352F7" w:rsidP="000352F7"/>
    <w:p w:rsidR="000352F7" w:rsidRDefault="000352F7" w:rsidP="000352F7"/>
    <w:p w:rsidR="000352F7" w:rsidRDefault="000352F7" w:rsidP="000352F7"/>
    <w:p w:rsidR="000352F7" w:rsidRDefault="000352F7" w:rsidP="000352F7"/>
    <w:p w:rsidR="000352F7" w:rsidRDefault="000352F7" w:rsidP="000352F7"/>
    <w:p w:rsidR="000352F7" w:rsidRDefault="000352F7" w:rsidP="000352F7"/>
    <w:p w:rsidR="00742620" w:rsidRPr="000352F7" w:rsidRDefault="00742620" w:rsidP="000352F7">
      <w:pPr>
        <w:tabs>
          <w:tab w:val="left" w:pos="2190"/>
        </w:tabs>
      </w:pPr>
    </w:p>
    <w:sectPr w:rsidR="00742620" w:rsidRPr="000352F7" w:rsidSect="006545C6">
      <w:headerReference w:type="default" r:id="rId7"/>
      <w:footerReference w:type="default" r:id="rId8"/>
      <w:pgSz w:w="12240" w:h="15840"/>
      <w:pgMar w:top="2410"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9F4" w:rsidRDefault="00BC29F4" w:rsidP="000352F7">
      <w:pPr>
        <w:spacing w:before="0" w:after="0" w:line="240" w:lineRule="auto"/>
      </w:pPr>
      <w:r>
        <w:separator/>
      </w:r>
    </w:p>
  </w:endnote>
  <w:endnote w:type="continuationSeparator" w:id="0">
    <w:p w:rsidR="00BC29F4" w:rsidRDefault="00BC29F4" w:rsidP="000352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788982"/>
      <w:docPartObj>
        <w:docPartGallery w:val="Page Numbers (Bottom of Page)"/>
        <w:docPartUnique/>
      </w:docPartObj>
    </w:sdtPr>
    <w:sdtEndPr/>
    <w:sdtContent>
      <w:p w:rsidR="002814B9" w:rsidRDefault="002814B9">
        <w:pPr>
          <w:pStyle w:val="Piedepgina"/>
          <w:jc w:val="right"/>
        </w:pPr>
        <w:r>
          <w:fldChar w:fldCharType="begin"/>
        </w:r>
        <w:r>
          <w:instrText>PAGE   \* MERGEFORMAT</w:instrText>
        </w:r>
        <w:r>
          <w:fldChar w:fldCharType="separate"/>
        </w:r>
        <w:r w:rsidR="008D7ECD" w:rsidRPr="008D7ECD">
          <w:rPr>
            <w:noProof/>
            <w:lang w:val="es-ES"/>
          </w:rPr>
          <w:t>1</w:t>
        </w:r>
        <w:r>
          <w:fldChar w:fldCharType="end"/>
        </w:r>
      </w:p>
    </w:sdtContent>
  </w:sdt>
  <w:p w:rsidR="002814B9" w:rsidRDefault="002814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9F4" w:rsidRDefault="00BC29F4" w:rsidP="000352F7">
      <w:pPr>
        <w:spacing w:before="0" w:after="0" w:line="240" w:lineRule="auto"/>
      </w:pPr>
      <w:r>
        <w:separator/>
      </w:r>
    </w:p>
  </w:footnote>
  <w:footnote w:type="continuationSeparator" w:id="0">
    <w:p w:rsidR="00BC29F4" w:rsidRDefault="00BC29F4" w:rsidP="000352F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4B9" w:rsidRDefault="002814B9" w:rsidP="00550FB2">
    <w:r>
      <w:rPr>
        <w:noProof/>
        <w:lang w:eastAsia="es-MX"/>
      </w:rPr>
      <w:drawing>
        <wp:anchor distT="0" distB="0" distL="114300" distR="114300" simplePos="0" relativeHeight="251660288" behindDoc="0" locked="0" layoutInCell="1" allowOverlap="1" wp14:anchorId="7714A2A0" wp14:editId="6DAFD5C0">
          <wp:simplePos x="0" y="0"/>
          <wp:positionH relativeFrom="column">
            <wp:posOffset>-868606</wp:posOffset>
          </wp:positionH>
          <wp:positionV relativeFrom="paragraph">
            <wp:posOffset>184150</wp:posOffset>
          </wp:positionV>
          <wp:extent cx="1704975" cy="479982"/>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tlixco.png"/>
                  <pic:cNvPicPr/>
                </pic:nvPicPr>
                <pic:blipFill>
                  <a:blip r:embed="rId1">
                    <a:extLst>
                      <a:ext uri="{28A0092B-C50C-407E-A947-70E740481C1C}">
                        <a14:useLocalDpi xmlns:a14="http://schemas.microsoft.com/office/drawing/2010/main" val="0"/>
                      </a:ext>
                    </a:extLst>
                  </a:blip>
                  <a:stretch>
                    <a:fillRect/>
                  </a:stretch>
                </pic:blipFill>
                <pic:spPr>
                  <a:xfrm>
                    <a:off x="0" y="0"/>
                    <a:ext cx="1704975" cy="479982"/>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0" locked="0" layoutInCell="1" allowOverlap="1" wp14:anchorId="787269A6" wp14:editId="584C02CF">
              <wp:simplePos x="0" y="0"/>
              <wp:positionH relativeFrom="column">
                <wp:posOffset>-1118235</wp:posOffset>
              </wp:positionH>
              <wp:positionV relativeFrom="paragraph">
                <wp:posOffset>-59690</wp:posOffset>
              </wp:positionV>
              <wp:extent cx="7848600" cy="90487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7848600" cy="904875"/>
                      </a:xfrm>
                      <a:prstGeom prst="rect">
                        <a:avLst/>
                      </a:prstGeom>
                    </wps:spPr>
                    <wps:style>
                      <a:lnRef idx="2">
                        <a:schemeClr val="accent1"/>
                      </a:lnRef>
                      <a:fillRef idx="1">
                        <a:schemeClr val="lt1"/>
                      </a:fillRef>
                      <a:effectRef idx="0">
                        <a:schemeClr val="accent1"/>
                      </a:effectRef>
                      <a:fontRef idx="minor">
                        <a:schemeClr val="dk1"/>
                      </a:fontRef>
                    </wps:style>
                    <wps:txbx>
                      <w:txbxContent>
                        <w:p w:rsidR="002814B9" w:rsidRDefault="002814B9" w:rsidP="000352F7">
                          <w:pPr>
                            <w:spacing w:after="0"/>
                            <w:jc w:val="center"/>
                            <w:rPr>
                              <w:rFonts w:ascii="Century Gothic" w:hAnsi="Century Gothic" w:cs="Arial"/>
                              <w:b/>
                              <w:sz w:val="22"/>
                              <w:szCs w:val="22"/>
                            </w:rPr>
                          </w:pPr>
                          <w:r>
                            <w:rPr>
                              <w:rFonts w:ascii="Century Gothic" w:hAnsi="Century Gothic" w:cs="Arial"/>
                              <w:b/>
                              <w:sz w:val="22"/>
                              <w:szCs w:val="22"/>
                            </w:rPr>
                            <w:t>MUNICIPIO DE ATLIXCO</w:t>
                          </w:r>
                        </w:p>
                        <w:p w:rsidR="002814B9" w:rsidRPr="00AD5AB7" w:rsidRDefault="002814B9" w:rsidP="000352F7">
                          <w:pPr>
                            <w:spacing w:after="0"/>
                            <w:jc w:val="center"/>
                            <w:rPr>
                              <w:rFonts w:ascii="Century Gothic" w:hAnsi="Century Gothic" w:cs="Arial"/>
                              <w:sz w:val="22"/>
                              <w:szCs w:val="22"/>
                            </w:rPr>
                          </w:pPr>
                          <w:r w:rsidRPr="00AD5AB7">
                            <w:rPr>
                              <w:rFonts w:ascii="Century Gothic" w:hAnsi="Century Gothic" w:cs="Arial"/>
                              <w:sz w:val="22"/>
                              <w:szCs w:val="22"/>
                            </w:rPr>
                            <w:t>NOTAS A LOS ESTADOS FINANCIEROS</w:t>
                          </w:r>
                        </w:p>
                        <w:p w:rsidR="002814B9" w:rsidRPr="00AD5AB7" w:rsidRDefault="002814B9" w:rsidP="008D7ECD">
                          <w:pPr>
                            <w:spacing w:after="0"/>
                            <w:jc w:val="center"/>
                            <w:rPr>
                              <w:rFonts w:ascii="Century Gothic" w:hAnsi="Century Gothic" w:cs="Arial"/>
                              <w:sz w:val="22"/>
                              <w:szCs w:val="22"/>
                            </w:rPr>
                          </w:pPr>
                          <w:r w:rsidRPr="00AD5AB7">
                            <w:rPr>
                              <w:rFonts w:ascii="Century Gothic" w:hAnsi="Century Gothic" w:cs="Arial"/>
                              <w:sz w:val="22"/>
                              <w:szCs w:val="22"/>
                            </w:rPr>
                            <w:t xml:space="preserve">DEL </w:t>
                          </w:r>
                          <w:r>
                            <w:rPr>
                              <w:rFonts w:ascii="Century Gothic" w:hAnsi="Century Gothic" w:cs="Arial"/>
                              <w:sz w:val="22"/>
                              <w:szCs w:val="22"/>
                            </w:rPr>
                            <w:t>1 DE ENERO AL 3</w:t>
                          </w:r>
                          <w:r w:rsidR="008D7ECD">
                            <w:rPr>
                              <w:rFonts w:ascii="Century Gothic" w:hAnsi="Century Gothic" w:cs="Arial"/>
                              <w:sz w:val="22"/>
                              <w:szCs w:val="22"/>
                            </w:rPr>
                            <w:t>1</w:t>
                          </w:r>
                          <w:r w:rsidRPr="00AD5AB7">
                            <w:rPr>
                              <w:rFonts w:ascii="Century Gothic" w:hAnsi="Century Gothic" w:cs="Arial"/>
                              <w:sz w:val="22"/>
                              <w:szCs w:val="22"/>
                            </w:rPr>
                            <w:t xml:space="preserve"> DE </w:t>
                          </w:r>
                          <w:r w:rsidR="008D7ECD">
                            <w:rPr>
                              <w:rFonts w:ascii="Century Gothic" w:hAnsi="Century Gothic" w:cs="Arial"/>
                              <w:sz w:val="22"/>
                              <w:szCs w:val="22"/>
                            </w:rPr>
                            <w:t>MARZO</w:t>
                          </w:r>
                          <w:r>
                            <w:rPr>
                              <w:rFonts w:ascii="Century Gothic" w:hAnsi="Century Gothic" w:cs="Arial"/>
                              <w:sz w:val="22"/>
                              <w:szCs w:val="22"/>
                            </w:rPr>
                            <w:t xml:space="preserve"> DE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269A6" id="Rectángulo 6" o:spid="_x0000_s1026" style="position:absolute;margin-left:-88.05pt;margin-top:-4.7pt;width:618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" fillcolor="white [3201]" strokecolor="#052f61 [3204]" strokeweight="1.25pt">
              <v:stroke endcap="round"/>
              <v:textbox>
                <w:txbxContent>
                  <w:p w:rsidR="002814B9" w:rsidRDefault="002814B9" w:rsidP="000352F7">
                    <w:pPr>
                      <w:spacing w:after="0"/>
                      <w:jc w:val="center"/>
                      <w:rPr>
                        <w:rFonts w:ascii="Century Gothic" w:hAnsi="Century Gothic" w:cs="Arial"/>
                        <w:b/>
                        <w:sz w:val="22"/>
                        <w:szCs w:val="22"/>
                      </w:rPr>
                    </w:pPr>
                    <w:r>
                      <w:rPr>
                        <w:rFonts w:ascii="Century Gothic" w:hAnsi="Century Gothic" w:cs="Arial"/>
                        <w:b/>
                        <w:sz w:val="22"/>
                        <w:szCs w:val="22"/>
                      </w:rPr>
                      <w:t>MUNICIPIO DE ATLIXCO</w:t>
                    </w:r>
                  </w:p>
                  <w:p w:rsidR="002814B9" w:rsidRPr="00AD5AB7" w:rsidRDefault="002814B9" w:rsidP="000352F7">
                    <w:pPr>
                      <w:spacing w:after="0"/>
                      <w:jc w:val="center"/>
                      <w:rPr>
                        <w:rFonts w:ascii="Century Gothic" w:hAnsi="Century Gothic" w:cs="Arial"/>
                        <w:sz w:val="22"/>
                        <w:szCs w:val="22"/>
                      </w:rPr>
                    </w:pPr>
                    <w:r w:rsidRPr="00AD5AB7">
                      <w:rPr>
                        <w:rFonts w:ascii="Century Gothic" w:hAnsi="Century Gothic" w:cs="Arial"/>
                        <w:sz w:val="22"/>
                        <w:szCs w:val="22"/>
                      </w:rPr>
                      <w:t>NOTAS A LOS ESTADOS FINANCIEROS</w:t>
                    </w:r>
                  </w:p>
                  <w:p w:rsidR="002814B9" w:rsidRPr="00AD5AB7" w:rsidRDefault="002814B9" w:rsidP="008D7ECD">
                    <w:pPr>
                      <w:spacing w:after="0"/>
                      <w:jc w:val="center"/>
                      <w:rPr>
                        <w:rFonts w:ascii="Century Gothic" w:hAnsi="Century Gothic" w:cs="Arial"/>
                        <w:sz w:val="22"/>
                        <w:szCs w:val="22"/>
                      </w:rPr>
                    </w:pPr>
                    <w:r w:rsidRPr="00AD5AB7">
                      <w:rPr>
                        <w:rFonts w:ascii="Century Gothic" w:hAnsi="Century Gothic" w:cs="Arial"/>
                        <w:sz w:val="22"/>
                        <w:szCs w:val="22"/>
                      </w:rPr>
                      <w:t xml:space="preserve">DEL </w:t>
                    </w:r>
                    <w:r>
                      <w:rPr>
                        <w:rFonts w:ascii="Century Gothic" w:hAnsi="Century Gothic" w:cs="Arial"/>
                        <w:sz w:val="22"/>
                        <w:szCs w:val="22"/>
                      </w:rPr>
                      <w:t>1 DE ENERO AL 3</w:t>
                    </w:r>
                    <w:r w:rsidR="008D7ECD">
                      <w:rPr>
                        <w:rFonts w:ascii="Century Gothic" w:hAnsi="Century Gothic" w:cs="Arial"/>
                        <w:sz w:val="22"/>
                        <w:szCs w:val="22"/>
                      </w:rPr>
                      <w:t>1</w:t>
                    </w:r>
                    <w:r w:rsidRPr="00AD5AB7">
                      <w:rPr>
                        <w:rFonts w:ascii="Century Gothic" w:hAnsi="Century Gothic" w:cs="Arial"/>
                        <w:sz w:val="22"/>
                        <w:szCs w:val="22"/>
                      </w:rPr>
                      <w:t xml:space="preserve"> DE </w:t>
                    </w:r>
                    <w:r w:rsidR="008D7ECD">
                      <w:rPr>
                        <w:rFonts w:ascii="Century Gothic" w:hAnsi="Century Gothic" w:cs="Arial"/>
                        <w:sz w:val="22"/>
                        <w:szCs w:val="22"/>
                      </w:rPr>
                      <w:t>MARZO</w:t>
                    </w:r>
                    <w:r>
                      <w:rPr>
                        <w:rFonts w:ascii="Century Gothic" w:hAnsi="Century Gothic" w:cs="Arial"/>
                        <w:sz w:val="22"/>
                        <w:szCs w:val="22"/>
                      </w:rPr>
                      <w:t xml:space="preserve"> DE 2016</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F5905"/>
    <w:multiLevelType w:val="hybridMultilevel"/>
    <w:tmpl w:val="98800600"/>
    <w:lvl w:ilvl="0" w:tplc="DE8055D8">
      <w:start w:val="1"/>
      <w:numFmt w:val="upperRoman"/>
      <w:lvlText w:val="%1."/>
      <w:lvlJc w:val="left"/>
      <w:pPr>
        <w:ind w:left="9151" w:hanging="720"/>
      </w:pPr>
      <w:rPr>
        <w:rFonts w:hint="default"/>
      </w:rPr>
    </w:lvl>
    <w:lvl w:ilvl="1" w:tplc="3C0C04B2">
      <w:start w:val="1"/>
      <w:numFmt w:val="decimal"/>
      <w:lvlText w:val="%2)"/>
      <w:lvlJc w:val="left"/>
      <w:pPr>
        <w:ind w:left="9511" w:hanging="360"/>
      </w:pPr>
      <w:rPr>
        <w:rFonts w:hint="default"/>
      </w:rPr>
    </w:lvl>
    <w:lvl w:ilvl="2" w:tplc="77C09820">
      <w:start w:val="1"/>
      <w:numFmt w:val="lowerLetter"/>
      <w:lvlText w:val="%3)"/>
      <w:lvlJc w:val="left"/>
      <w:pPr>
        <w:ind w:left="10411" w:hanging="360"/>
      </w:pPr>
      <w:rPr>
        <w:rFonts w:hint="default"/>
      </w:rPr>
    </w:lvl>
    <w:lvl w:ilvl="3" w:tplc="080A000F" w:tentative="1">
      <w:start w:val="1"/>
      <w:numFmt w:val="decimal"/>
      <w:lvlText w:val="%4."/>
      <w:lvlJc w:val="left"/>
      <w:pPr>
        <w:ind w:left="10951" w:hanging="360"/>
      </w:pPr>
    </w:lvl>
    <w:lvl w:ilvl="4" w:tplc="080A0019" w:tentative="1">
      <w:start w:val="1"/>
      <w:numFmt w:val="lowerLetter"/>
      <w:lvlText w:val="%5."/>
      <w:lvlJc w:val="left"/>
      <w:pPr>
        <w:ind w:left="11671" w:hanging="360"/>
      </w:pPr>
    </w:lvl>
    <w:lvl w:ilvl="5" w:tplc="080A001B" w:tentative="1">
      <w:start w:val="1"/>
      <w:numFmt w:val="lowerRoman"/>
      <w:lvlText w:val="%6."/>
      <w:lvlJc w:val="right"/>
      <w:pPr>
        <w:ind w:left="12391" w:hanging="180"/>
      </w:pPr>
    </w:lvl>
    <w:lvl w:ilvl="6" w:tplc="080A000F" w:tentative="1">
      <w:start w:val="1"/>
      <w:numFmt w:val="decimal"/>
      <w:lvlText w:val="%7."/>
      <w:lvlJc w:val="left"/>
      <w:pPr>
        <w:ind w:left="13111" w:hanging="360"/>
      </w:pPr>
    </w:lvl>
    <w:lvl w:ilvl="7" w:tplc="080A0019" w:tentative="1">
      <w:start w:val="1"/>
      <w:numFmt w:val="lowerLetter"/>
      <w:lvlText w:val="%8."/>
      <w:lvlJc w:val="left"/>
      <w:pPr>
        <w:ind w:left="13831" w:hanging="360"/>
      </w:pPr>
    </w:lvl>
    <w:lvl w:ilvl="8" w:tplc="080A001B" w:tentative="1">
      <w:start w:val="1"/>
      <w:numFmt w:val="lowerRoman"/>
      <w:lvlText w:val="%9."/>
      <w:lvlJc w:val="right"/>
      <w:pPr>
        <w:ind w:left="14551" w:hanging="180"/>
      </w:pPr>
    </w:lvl>
  </w:abstractNum>
  <w:abstractNum w:abstractNumId="1">
    <w:nsid w:val="0B90457A"/>
    <w:multiLevelType w:val="hybridMultilevel"/>
    <w:tmpl w:val="32B82B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79E30AC"/>
    <w:multiLevelType w:val="hybridMultilevel"/>
    <w:tmpl w:val="C0B6BEC6"/>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7624B5"/>
    <w:multiLevelType w:val="hybridMultilevel"/>
    <w:tmpl w:val="066EF838"/>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7924562"/>
    <w:multiLevelType w:val="hybridMultilevel"/>
    <w:tmpl w:val="CD90BC76"/>
    <w:lvl w:ilvl="0" w:tplc="B9AA2AA4">
      <w:numFmt w:val="bullet"/>
      <w:lvlText w:val="-"/>
      <w:lvlJc w:val="left"/>
      <w:pPr>
        <w:ind w:left="1068" w:hanging="360"/>
      </w:pPr>
      <w:rPr>
        <w:rFonts w:ascii="Calibri" w:eastAsia="Times New Roman" w:hAnsi="Calibri"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nsid w:val="291E1846"/>
    <w:multiLevelType w:val="hybridMultilevel"/>
    <w:tmpl w:val="EB84BBCE"/>
    <w:lvl w:ilvl="0" w:tplc="080A0011">
      <w:start w:val="1"/>
      <w:numFmt w:val="decimal"/>
      <w:lvlText w:val="%1)"/>
      <w:lvlJc w:val="left"/>
      <w:pPr>
        <w:ind w:left="720" w:hanging="36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A4360F1"/>
    <w:multiLevelType w:val="hybridMultilevel"/>
    <w:tmpl w:val="7B1EBD3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45D2405A"/>
    <w:multiLevelType w:val="hybridMultilevel"/>
    <w:tmpl w:val="E0A22B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DD3530D"/>
    <w:multiLevelType w:val="hybridMultilevel"/>
    <w:tmpl w:val="E2F2E3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3860710"/>
    <w:multiLevelType w:val="hybridMultilevel"/>
    <w:tmpl w:val="97FC3B86"/>
    <w:lvl w:ilvl="0" w:tplc="BCFEE6F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5647D44"/>
    <w:multiLevelType w:val="hybridMultilevel"/>
    <w:tmpl w:val="066EF838"/>
    <w:lvl w:ilvl="0" w:tplc="080A0011">
      <w:start w:val="1"/>
      <w:numFmt w:val="decimal"/>
      <w:lvlText w:val="%1)"/>
      <w:lvlJc w:val="left"/>
      <w:pPr>
        <w:ind w:left="4968" w:hanging="360"/>
      </w:pPr>
      <w:rPr>
        <w:rFonts w:hint="default"/>
      </w:rPr>
    </w:lvl>
    <w:lvl w:ilvl="1" w:tplc="080A0019">
      <w:start w:val="1"/>
      <w:numFmt w:val="lowerLetter"/>
      <w:lvlText w:val="%2."/>
      <w:lvlJc w:val="left"/>
      <w:pPr>
        <w:ind w:left="5688" w:hanging="360"/>
      </w:pPr>
    </w:lvl>
    <w:lvl w:ilvl="2" w:tplc="080A001B" w:tentative="1">
      <w:start w:val="1"/>
      <w:numFmt w:val="lowerRoman"/>
      <w:lvlText w:val="%3."/>
      <w:lvlJc w:val="right"/>
      <w:pPr>
        <w:ind w:left="6408" w:hanging="180"/>
      </w:pPr>
    </w:lvl>
    <w:lvl w:ilvl="3" w:tplc="080A000F" w:tentative="1">
      <w:start w:val="1"/>
      <w:numFmt w:val="decimal"/>
      <w:lvlText w:val="%4."/>
      <w:lvlJc w:val="left"/>
      <w:pPr>
        <w:ind w:left="7128" w:hanging="360"/>
      </w:pPr>
    </w:lvl>
    <w:lvl w:ilvl="4" w:tplc="080A0019" w:tentative="1">
      <w:start w:val="1"/>
      <w:numFmt w:val="lowerLetter"/>
      <w:lvlText w:val="%5."/>
      <w:lvlJc w:val="left"/>
      <w:pPr>
        <w:ind w:left="7848" w:hanging="360"/>
      </w:pPr>
    </w:lvl>
    <w:lvl w:ilvl="5" w:tplc="080A001B" w:tentative="1">
      <w:start w:val="1"/>
      <w:numFmt w:val="lowerRoman"/>
      <w:lvlText w:val="%6."/>
      <w:lvlJc w:val="right"/>
      <w:pPr>
        <w:ind w:left="8568" w:hanging="180"/>
      </w:pPr>
    </w:lvl>
    <w:lvl w:ilvl="6" w:tplc="080A000F" w:tentative="1">
      <w:start w:val="1"/>
      <w:numFmt w:val="decimal"/>
      <w:lvlText w:val="%7."/>
      <w:lvlJc w:val="left"/>
      <w:pPr>
        <w:ind w:left="9288" w:hanging="360"/>
      </w:pPr>
    </w:lvl>
    <w:lvl w:ilvl="7" w:tplc="080A0019" w:tentative="1">
      <w:start w:val="1"/>
      <w:numFmt w:val="lowerLetter"/>
      <w:lvlText w:val="%8."/>
      <w:lvlJc w:val="left"/>
      <w:pPr>
        <w:ind w:left="10008" w:hanging="360"/>
      </w:pPr>
    </w:lvl>
    <w:lvl w:ilvl="8" w:tplc="080A001B" w:tentative="1">
      <w:start w:val="1"/>
      <w:numFmt w:val="lowerRoman"/>
      <w:lvlText w:val="%9."/>
      <w:lvlJc w:val="right"/>
      <w:pPr>
        <w:ind w:left="10728" w:hanging="180"/>
      </w:pPr>
    </w:lvl>
  </w:abstractNum>
  <w:abstractNum w:abstractNumId="11">
    <w:nsid w:val="6FF56A94"/>
    <w:multiLevelType w:val="hybridMultilevel"/>
    <w:tmpl w:val="EC401B1C"/>
    <w:lvl w:ilvl="0" w:tplc="080A0017">
      <w:start w:val="1"/>
      <w:numFmt w:val="lowerLetter"/>
      <w:lvlText w:val="%1)"/>
      <w:lvlJc w:val="left"/>
      <w:pPr>
        <w:ind w:left="720" w:hanging="360"/>
      </w:pPr>
    </w:lvl>
    <w:lvl w:ilvl="1" w:tplc="080A0019">
      <w:start w:val="1"/>
      <w:numFmt w:val="lowerLetter"/>
      <w:lvlText w:val="%2."/>
      <w:lvlJc w:val="left"/>
      <w:pPr>
        <w:ind w:left="502" w:hanging="360"/>
      </w:pPr>
    </w:lvl>
    <w:lvl w:ilvl="2" w:tplc="080A0019">
      <w:start w:val="1"/>
      <w:numFmt w:val="lowerLetter"/>
      <w:lvlText w:val="%3."/>
      <w:lvlJc w:val="left"/>
      <w:pPr>
        <w:ind w:left="748"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71529C1"/>
    <w:multiLevelType w:val="hybridMultilevel"/>
    <w:tmpl w:val="0F72EF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748"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A0A24ED"/>
    <w:multiLevelType w:val="hybridMultilevel"/>
    <w:tmpl w:val="C6D43A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4"/>
  </w:num>
  <w:num w:numId="5">
    <w:abstractNumId w:val="6"/>
  </w:num>
  <w:num w:numId="6">
    <w:abstractNumId w:val="2"/>
  </w:num>
  <w:num w:numId="7">
    <w:abstractNumId w:val="5"/>
  </w:num>
  <w:num w:numId="8">
    <w:abstractNumId w:val="1"/>
  </w:num>
  <w:num w:numId="9">
    <w:abstractNumId w:val="8"/>
  </w:num>
  <w:num w:numId="10">
    <w:abstractNumId w:val="12"/>
  </w:num>
  <w:num w:numId="11">
    <w:abstractNumId w:val="11"/>
  </w:num>
  <w:num w:numId="12">
    <w:abstractNumId w:val="1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F7"/>
    <w:rsid w:val="0003319C"/>
    <w:rsid w:val="000352F7"/>
    <w:rsid w:val="000520A6"/>
    <w:rsid w:val="000551FC"/>
    <w:rsid w:val="0006621C"/>
    <w:rsid w:val="00071290"/>
    <w:rsid w:val="000718FB"/>
    <w:rsid w:val="0007582A"/>
    <w:rsid w:val="000A403C"/>
    <w:rsid w:val="000B6B90"/>
    <w:rsid w:val="000D7013"/>
    <w:rsid w:val="000F61C0"/>
    <w:rsid w:val="00116A4D"/>
    <w:rsid w:val="00133E77"/>
    <w:rsid w:val="0014194D"/>
    <w:rsid w:val="00144E2E"/>
    <w:rsid w:val="001712FD"/>
    <w:rsid w:val="00182C81"/>
    <w:rsid w:val="001B35C5"/>
    <w:rsid w:val="001D4D43"/>
    <w:rsid w:val="00206E7F"/>
    <w:rsid w:val="002403D3"/>
    <w:rsid w:val="0026202F"/>
    <w:rsid w:val="002814B9"/>
    <w:rsid w:val="0028256D"/>
    <w:rsid w:val="002C2560"/>
    <w:rsid w:val="002C7E28"/>
    <w:rsid w:val="002E0308"/>
    <w:rsid w:val="0032546C"/>
    <w:rsid w:val="00372634"/>
    <w:rsid w:val="0039224D"/>
    <w:rsid w:val="003B07EE"/>
    <w:rsid w:val="003D091D"/>
    <w:rsid w:val="00434126"/>
    <w:rsid w:val="0044329D"/>
    <w:rsid w:val="0047140C"/>
    <w:rsid w:val="004A745D"/>
    <w:rsid w:val="004C38A7"/>
    <w:rsid w:val="004D08FE"/>
    <w:rsid w:val="004D6973"/>
    <w:rsid w:val="004E3AE8"/>
    <w:rsid w:val="005058D3"/>
    <w:rsid w:val="00550FB2"/>
    <w:rsid w:val="005721B8"/>
    <w:rsid w:val="00575724"/>
    <w:rsid w:val="00584768"/>
    <w:rsid w:val="00591F88"/>
    <w:rsid w:val="005F11EF"/>
    <w:rsid w:val="00621F05"/>
    <w:rsid w:val="00637904"/>
    <w:rsid w:val="00652BC8"/>
    <w:rsid w:val="006545C6"/>
    <w:rsid w:val="00661A2D"/>
    <w:rsid w:val="00685848"/>
    <w:rsid w:val="006A25D7"/>
    <w:rsid w:val="00742620"/>
    <w:rsid w:val="007428C0"/>
    <w:rsid w:val="0076490C"/>
    <w:rsid w:val="00765ABD"/>
    <w:rsid w:val="00767AD2"/>
    <w:rsid w:val="007816EF"/>
    <w:rsid w:val="00783126"/>
    <w:rsid w:val="007C24DF"/>
    <w:rsid w:val="007F1AB1"/>
    <w:rsid w:val="008003DD"/>
    <w:rsid w:val="0081182A"/>
    <w:rsid w:val="00834E1A"/>
    <w:rsid w:val="00881037"/>
    <w:rsid w:val="00882118"/>
    <w:rsid w:val="008904FE"/>
    <w:rsid w:val="008B0B27"/>
    <w:rsid w:val="008D4C84"/>
    <w:rsid w:val="008D7ECD"/>
    <w:rsid w:val="008E4273"/>
    <w:rsid w:val="008E4A19"/>
    <w:rsid w:val="008F64F2"/>
    <w:rsid w:val="00917DEA"/>
    <w:rsid w:val="00923B92"/>
    <w:rsid w:val="00982636"/>
    <w:rsid w:val="009B4307"/>
    <w:rsid w:val="009E558F"/>
    <w:rsid w:val="00A025B1"/>
    <w:rsid w:val="00A07165"/>
    <w:rsid w:val="00A26959"/>
    <w:rsid w:val="00A328CF"/>
    <w:rsid w:val="00A44004"/>
    <w:rsid w:val="00A44821"/>
    <w:rsid w:val="00A51534"/>
    <w:rsid w:val="00A636C3"/>
    <w:rsid w:val="00A80E30"/>
    <w:rsid w:val="00AA54D1"/>
    <w:rsid w:val="00AD10C8"/>
    <w:rsid w:val="00AD5AB7"/>
    <w:rsid w:val="00AE3C10"/>
    <w:rsid w:val="00AE3EF0"/>
    <w:rsid w:val="00AF7D74"/>
    <w:rsid w:val="00B07815"/>
    <w:rsid w:val="00B2151A"/>
    <w:rsid w:val="00B53252"/>
    <w:rsid w:val="00B6233F"/>
    <w:rsid w:val="00B7280D"/>
    <w:rsid w:val="00BA2D36"/>
    <w:rsid w:val="00BA4247"/>
    <w:rsid w:val="00BC29F4"/>
    <w:rsid w:val="00BD5FD4"/>
    <w:rsid w:val="00BE57C5"/>
    <w:rsid w:val="00C25C6F"/>
    <w:rsid w:val="00C35C7C"/>
    <w:rsid w:val="00C37CB6"/>
    <w:rsid w:val="00C409BE"/>
    <w:rsid w:val="00C423AB"/>
    <w:rsid w:val="00C51397"/>
    <w:rsid w:val="00C66A9D"/>
    <w:rsid w:val="00C67ADF"/>
    <w:rsid w:val="00C83AE4"/>
    <w:rsid w:val="00C916C5"/>
    <w:rsid w:val="00CB29A1"/>
    <w:rsid w:val="00CD0380"/>
    <w:rsid w:val="00CD35B5"/>
    <w:rsid w:val="00CE5D63"/>
    <w:rsid w:val="00D347E5"/>
    <w:rsid w:val="00D471E2"/>
    <w:rsid w:val="00DC1431"/>
    <w:rsid w:val="00DF40D6"/>
    <w:rsid w:val="00E111E8"/>
    <w:rsid w:val="00E16225"/>
    <w:rsid w:val="00E22C74"/>
    <w:rsid w:val="00E26FA0"/>
    <w:rsid w:val="00E45533"/>
    <w:rsid w:val="00E45ABB"/>
    <w:rsid w:val="00E54EBB"/>
    <w:rsid w:val="00E6400B"/>
    <w:rsid w:val="00E77A48"/>
    <w:rsid w:val="00E83272"/>
    <w:rsid w:val="00E94421"/>
    <w:rsid w:val="00EE5493"/>
    <w:rsid w:val="00EF2882"/>
    <w:rsid w:val="00F07232"/>
    <w:rsid w:val="00F52CC5"/>
    <w:rsid w:val="00F56D1A"/>
    <w:rsid w:val="00F5723F"/>
    <w:rsid w:val="00F6098C"/>
    <w:rsid w:val="00FA0253"/>
    <w:rsid w:val="00FB6AB4"/>
    <w:rsid w:val="00FC2CD8"/>
    <w:rsid w:val="00FC7809"/>
    <w:rsid w:val="00FF1EC6"/>
    <w:rsid w:val="00FF21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CCDD079-7D8B-4D9C-857C-2F8E9818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MX"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2F7"/>
  </w:style>
  <w:style w:type="paragraph" w:styleId="Ttulo1">
    <w:name w:val="heading 1"/>
    <w:basedOn w:val="Normal"/>
    <w:next w:val="Normal"/>
    <w:link w:val="Ttulo1Car"/>
    <w:uiPriority w:val="9"/>
    <w:qFormat/>
    <w:rsid w:val="000352F7"/>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0352F7"/>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0352F7"/>
    <w:pPr>
      <w:pBdr>
        <w:top w:val="single" w:sz="6" w:space="2" w:color="052F61" w:themeColor="accent1"/>
      </w:pBdr>
      <w:spacing w:before="300" w:after="0"/>
      <w:outlineLvl w:val="2"/>
    </w:pPr>
    <w:rPr>
      <w:caps/>
      <w:color w:val="021730" w:themeColor="accent1" w:themeShade="7F"/>
      <w:spacing w:val="15"/>
    </w:rPr>
  </w:style>
  <w:style w:type="paragraph" w:styleId="Ttulo4">
    <w:name w:val="heading 4"/>
    <w:basedOn w:val="Normal"/>
    <w:next w:val="Normal"/>
    <w:link w:val="Ttulo4Car"/>
    <w:uiPriority w:val="9"/>
    <w:semiHidden/>
    <w:unhideWhenUsed/>
    <w:qFormat/>
    <w:rsid w:val="000352F7"/>
    <w:pPr>
      <w:pBdr>
        <w:top w:val="dotted" w:sz="6" w:space="2" w:color="052F61" w:themeColor="accent1"/>
      </w:pBdr>
      <w:spacing w:before="200" w:after="0"/>
      <w:outlineLvl w:val="3"/>
    </w:pPr>
    <w:rPr>
      <w:caps/>
      <w:color w:val="032348" w:themeColor="accent1" w:themeShade="BF"/>
      <w:spacing w:val="10"/>
    </w:rPr>
  </w:style>
  <w:style w:type="paragraph" w:styleId="Ttulo5">
    <w:name w:val="heading 5"/>
    <w:basedOn w:val="Normal"/>
    <w:next w:val="Normal"/>
    <w:link w:val="Ttulo5Car"/>
    <w:uiPriority w:val="9"/>
    <w:semiHidden/>
    <w:unhideWhenUsed/>
    <w:qFormat/>
    <w:rsid w:val="000352F7"/>
    <w:pPr>
      <w:pBdr>
        <w:bottom w:val="single" w:sz="6" w:space="1" w:color="052F61" w:themeColor="accent1"/>
      </w:pBdr>
      <w:spacing w:before="200" w:after="0"/>
      <w:outlineLvl w:val="4"/>
    </w:pPr>
    <w:rPr>
      <w:caps/>
      <w:color w:val="032348" w:themeColor="accent1" w:themeShade="BF"/>
      <w:spacing w:val="10"/>
    </w:rPr>
  </w:style>
  <w:style w:type="paragraph" w:styleId="Ttulo6">
    <w:name w:val="heading 6"/>
    <w:basedOn w:val="Normal"/>
    <w:next w:val="Normal"/>
    <w:link w:val="Ttulo6Car"/>
    <w:uiPriority w:val="9"/>
    <w:semiHidden/>
    <w:unhideWhenUsed/>
    <w:qFormat/>
    <w:rsid w:val="000352F7"/>
    <w:pPr>
      <w:pBdr>
        <w:bottom w:val="dotted" w:sz="6" w:space="1" w:color="052F61" w:themeColor="accent1"/>
      </w:pBdr>
      <w:spacing w:before="200" w:after="0"/>
      <w:outlineLvl w:val="5"/>
    </w:pPr>
    <w:rPr>
      <w:caps/>
      <w:color w:val="032348" w:themeColor="accent1" w:themeShade="BF"/>
      <w:spacing w:val="10"/>
    </w:rPr>
  </w:style>
  <w:style w:type="paragraph" w:styleId="Ttulo7">
    <w:name w:val="heading 7"/>
    <w:basedOn w:val="Normal"/>
    <w:next w:val="Normal"/>
    <w:link w:val="Ttulo7Car"/>
    <w:uiPriority w:val="9"/>
    <w:semiHidden/>
    <w:unhideWhenUsed/>
    <w:qFormat/>
    <w:rsid w:val="000352F7"/>
    <w:pPr>
      <w:spacing w:before="200" w:after="0"/>
      <w:outlineLvl w:val="6"/>
    </w:pPr>
    <w:rPr>
      <w:caps/>
      <w:color w:val="032348" w:themeColor="accent1" w:themeShade="BF"/>
      <w:spacing w:val="10"/>
    </w:rPr>
  </w:style>
  <w:style w:type="paragraph" w:styleId="Ttulo8">
    <w:name w:val="heading 8"/>
    <w:basedOn w:val="Normal"/>
    <w:next w:val="Normal"/>
    <w:link w:val="Ttulo8Car"/>
    <w:uiPriority w:val="9"/>
    <w:semiHidden/>
    <w:unhideWhenUsed/>
    <w:qFormat/>
    <w:rsid w:val="000352F7"/>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0352F7"/>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52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2F7"/>
  </w:style>
  <w:style w:type="paragraph" w:styleId="Piedepgina">
    <w:name w:val="footer"/>
    <w:basedOn w:val="Normal"/>
    <w:link w:val="PiedepginaCar"/>
    <w:uiPriority w:val="99"/>
    <w:unhideWhenUsed/>
    <w:rsid w:val="000352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2F7"/>
  </w:style>
  <w:style w:type="character" w:customStyle="1" w:styleId="Ttulo1Car">
    <w:name w:val="Título 1 Car"/>
    <w:basedOn w:val="Fuentedeprrafopredeter"/>
    <w:link w:val="Ttulo1"/>
    <w:uiPriority w:val="9"/>
    <w:rsid w:val="000352F7"/>
    <w:rPr>
      <w:caps/>
      <w:color w:val="FFFFFF" w:themeColor="background1"/>
      <w:spacing w:val="15"/>
      <w:sz w:val="22"/>
      <w:szCs w:val="22"/>
      <w:shd w:val="clear" w:color="auto" w:fill="052F61" w:themeFill="accent1"/>
    </w:rPr>
  </w:style>
  <w:style w:type="character" w:customStyle="1" w:styleId="Ttulo2Car">
    <w:name w:val="Título 2 Car"/>
    <w:basedOn w:val="Fuentedeprrafopredeter"/>
    <w:link w:val="Ttulo2"/>
    <w:uiPriority w:val="9"/>
    <w:semiHidden/>
    <w:rsid w:val="000352F7"/>
    <w:rPr>
      <w:caps/>
      <w:spacing w:val="15"/>
      <w:shd w:val="clear" w:color="auto" w:fill="B1D2FB" w:themeFill="accent1" w:themeFillTint="33"/>
    </w:rPr>
  </w:style>
  <w:style w:type="character" w:customStyle="1" w:styleId="Ttulo3Car">
    <w:name w:val="Título 3 Car"/>
    <w:basedOn w:val="Fuentedeprrafopredeter"/>
    <w:link w:val="Ttulo3"/>
    <w:uiPriority w:val="9"/>
    <w:semiHidden/>
    <w:rsid w:val="000352F7"/>
    <w:rPr>
      <w:caps/>
      <w:color w:val="021730" w:themeColor="accent1" w:themeShade="7F"/>
      <w:spacing w:val="15"/>
    </w:rPr>
  </w:style>
  <w:style w:type="character" w:customStyle="1" w:styleId="Ttulo4Car">
    <w:name w:val="Título 4 Car"/>
    <w:basedOn w:val="Fuentedeprrafopredeter"/>
    <w:link w:val="Ttulo4"/>
    <w:uiPriority w:val="9"/>
    <w:semiHidden/>
    <w:rsid w:val="000352F7"/>
    <w:rPr>
      <w:caps/>
      <w:color w:val="032348" w:themeColor="accent1" w:themeShade="BF"/>
      <w:spacing w:val="10"/>
    </w:rPr>
  </w:style>
  <w:style w:type="character" w:customStyle="1" w:styleId="Ttulo5Car">
    <w:name w:val="Título 5 Car"/>
    <w:basedOn w:val="Fuentedeprrafopredeter"/>
    <w:link w:val="Ttulo5"/>
    <w:uiPriority w:val="9"/>
    <w:semiHidden/>
    <w:rsid w:val="000352F7"/>
    <w:rPr>
      <w:caps/>
      <w:color w:val="032348" w:themeColor="accent1" w:themeShade="BF"/>
      <w:spacing w:val="10"/>
    </w:rPr>
  </w:style>
  <w:style w:type="character" w:customStyle="1" w:styleId="Ttulo6Car">
    <w:name w:val="Título 6 Car"/>
    <w:basedOn w:val="Fuentedeprrafopredeter"/>
    <w:link w:val="Ttulo6"/>
    <w:uiPriority w:val="9"/>
    <w:semiHidden/>
    <w:rsid w:val="000352F7"/>
    <w:rPr>
      <w:caps/>
      <w:color w:val="032348" w:themeColor="accent1" w:themeShade="BF"/>
      <w:spacing w:val="10"/>
    </w:rPr>
  </w:style>
  <w:style w:type="character" w:customStyle="1" w:styleId="Ttulo7Car">
    <w:name w:val="Título 7 Car"/>
    <w:basedOn w:val="Fuentedeprrafopredeter"/>
    <w:link w:val="Ttulo7"/>
    <w:uiPriority w:val="9"/>
    <w:semiHidden/>
    <w:rsid w:val="000352F7"/>
    <w:rPr>
      <w:caps/>
      <w:color w:val="032348" w:themeColor="accent1" w:themeShade="BF"/>
      <w:spacing w:val="10"/>
    </w:rPr>
  </w:style>
  <w:style w:type="character" w:customStyle="1" w:styleId="Ttulo8Car">
    <w:name w:val="Título 8 Car"/>
    <w:basedOn w:val="Fuentedeprrafopredeter"/>
    <w:link w:val="Ttulo8"/>
    <w:uiPriority w:val="9"/>
    <w:semiHidden/>
    <w:rsid w:val="000352F7"/>
    <w:rPr>
      <w:caps/>
      <w:spacing w:val="10"/>
      <w:sz w:val="18"/>
      <w:szCs w:val="18"/>
    </w:rPr>
  </w:style>
  <w:style w:type="character" w:customStyle="1" w:styleId="Ttulo9Car">
    <w:name w:val="Título 9 Car"/>
    <w:basedOn w:val="Fuentedeprrafopredeter"/>
    <w:link w:val="Ttulo9"/>
    <w:uiPriority w:val="9"/>
    <w:semiHidden/>
    <w:rsid w:val="000352F7"/>
    <w:rPr>
      <w:i/>
      <w:iCs/>
      <w:caps/>
      <w:spacing w:val="10"/>
      <w:sz w:val="18"/>
      <w:szCs w:val="18"/>
    </w:rPr>
  </w:style>
  <w:style w:type="paragraph" w:styleId="Descripcin">
    <w:name w:val="caption"/>
    <w:basedOn w:val="Normal"/>
    <w:next w:val="Normal"/>
    <w:uiPriority w:val="35"/>
    <w:semiHidden/>
    <w:unhideWhenUsed/>
    <w:qFormat/>
    <w:rsid w:val="000352F7"/>
    <w:rPr>
      <w:b/>
      <w:bCs/>
      <w:color w:val="032348" w:themeColor="accent1" w:themeShade="BF"/>
      <w:sz w:val="16"/>
      <w:szCs w:val="16"/>
    </w:rPr>
  </w:style>
  <w:style w:type="paragraph" w:styleId="Puesto">
    <w:name w:val="Title"/>
    <w:basedOn w:val="Normal"/>
    <w:next w:val="Normal"/>
    <w:link w:val="PuestoCar"/>
    <w:uiPriority w:val="10"/>
    <w:qFormat/>
    <w:rsid w:val="000352F7"/>
    <w:pPr>
      <w:spacing w:before="0" w:after="0"/>
    </w:pPr>
    <w:rPr>
      <w:rFonts w:asciiTheme="majorHAnsi" w:eastAsiaTheme="majorEastAsia" w:hAnsiTheme="majorHAnsi" w:cstheme="majorBidi"/>
      <w:caps/>
      <w:color w:val="052F61" w:themeColor="accent1"/>
      <w:spacing w:val="10"/>
      <w:sz w:val="52"/>
      <w:szCs w:val="52"/>
    </w:rPr>
  </w:style>
  <w:style w:type="character" w:customStyle="1" w:styleId="PuestoCar">
    <w:name w:val="Puesto Car"/>
    <w:basedOn w:val="Fuentedeprrafopredeter"/>
    <w:link w:val="Puesto"/>
    <w:uiPriority w:val="10"/>
    <w:rsid w:val="000352F7"/>
    <w:rPr>
      <w:rFonts w:asciiTheme="majorHAnsi" w:eastAsiaTheme="majorEastAsia" w:hAnsiTheme="majorHAnsi" w:cstheme="majorBidi"/>
      <w:caps/>
      <w:color w:val="052F61" w:themeColor="accent1"/>
      <w:spacing w:val="10"/>
      <w:sz w:val="52"/>
      <w:szCs w:val="52"/>
    </w:rPr>
  </w:style>
  <w:style w:type="paragraph" w:styleId="Subttulo">
    <w:name w:val="Subtitle"/>
    <w:basedOn w:val="Normal"/>
    <w:next w:val="Normal"/>
    <w:link w:val="SubttuloCar"/>
    <w:uiPriority w:val="11"/>
    <w:qFormat/>
    <w:rsid w:val="000352F7"/>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0352F7"/>
    <w:rPr>
      <w:caps/>
      <w:color w:val="595959" w:themeColor="text1" w:themeTint="A6"/>
      <w:spacing w:val="10"/>
      <w:sz w:val="21"/>
      <w:szCs w:val="21"/>
    </w:rPr>
  </w:style>
  <w:style w:type="character" w:styleId="Textoennegrita">
    <w:name w:val="Strong"/>
    <w:uiPriority w:val="22"/>
    <w:qFormat/>
    <w:rsid w:val="000352F7"/>
    <w:rPr>
      <w:b/>
      <w:bCs/>
    </w:rPr>
  </w:style>
  <w:style w:type="character" w:styleId="nfasis">
    <w:name w:val="Emphasis"/>
    <w:uiPriority w:val="20"/>
    <w:qFormat/>
    <w:rsid w:val="000352F7"/>
    <w:rPr>
      <w:caps/>
      <w:color w:val="021730" w:themeColor="accent1" w:themeShade="7F"/>
      <w:spacing w:val="5"/>
    </w:rPr>
  </w:style>
  <w:style w:type="paragraph" w:styleId="Sinespaciado">
    <w:name w:val="No Spacing"/>
    <w:uiPriority w:val="1"/>
    <w:qFormat/>
    <w:rsid w:val="000352F7"/>
    <w:pPr>
      <w:spacing w:after="0" w:line="240" w:lineRule="auto"/>
    </w:pPr>
  </w:style>
  <w:style w:type="paragraph" w:styleId="Cita">
    <w:name w:val="Quote"/>
    <w:basedOn w:val="Normal"/>
    <w:next w:val="Normal"/>
    <w:link w:val="CitaCar"/>
    <w:uiPriority w:val="29"/>
    <w:qFormat/>
    <w:rsid w:val="000352F7"/>
    <w:rPr>
      <w:i/>
      <w:iCs/>
      <w:sz w:val="24"/>
      <w:szCs w:val="24"/>
    </w:rPr>
  </w:style>
  <w:style w:type="character" w:customStyle="1" w:styleId="CitaCar">
    <w:name w:val="Cita Car"/>
    <w:basedOn w:val="Fuentedeprrafopredeter"/>
    <w:link w:val="Cita"/>
    <w:uiPriority w:val="29"/>
    <w:rsid w:val="000352F7"/>
    <w:rPr>
      <w:i/>
      <w:iCs/>
      <w:sz w:val="24"/>
      <w:szCs w:val="24"/>
    </w:rPr>
  </w:style>
  <w:style w:type="paragraph" w:styleId="Citadestacada">
    <w:name w:val="Intense Quote"/>
    <w:basedOn w:val="Normal"/>
    <w:next w:val="Normal"/>
    <w:link w:val="CitadestacadaCar"/>
    <w:uiPriority w:val="30"/>
    <w:qFormat/>
    <w:rsid w:val="000352F7"/>
    <w:pPr>
      <w:spacing w:before="240" w:after="240" w:line="240" w:lineRule="auto"/>
      <w:ind w:left="1080" w:right="1080"/>
      <w:jc w:val="center"/>
    </w:pPr>
    <w:rPr>
      <w:color w:val="052F61" w:themeColor="accent1"/>
      <w:sz w:val="24"/>
      <w:szCs w:val="24"/>
    </w:rPr>
  </w:style>
  <w:style w:type="character" w:customStyle="1" w:styleId="CitadestacadaCar">
    <w:name w:val="Cita destacada Car"/>
    <w:basedOn w:val="Fuentedeprrafopredeter"/>
    <w:link w:val="Citadestacada"/>
    <w:uiPriority w:val="30"/>
    <w:rsid w:val="000352F7"/>
    <w:rPr>
      <w:color w:val="052F61" w:themeColor="accent1"/>
      <w:sz w:val="24"/>
      <w:szCs w:val="24"/>
    </w:rPr>
  </w:style>
  <w:style w:type="character" w:styleId="nfasissutil">
    <w:name w:val="Subtle Emphasis"/>
    <w:uiPriority w:val="19"/>
    <w:qFormat/>
    <w:rsid w:val="000352F7"/>
    <w:rPr>
      <w:i/>
      <w:iCs/>
      <w:color w:val="021730" w:themeColor="accent1" w:themeShade="7F"/>
    </w:rPr>
  </w:style>
  <w:style w:type="character" w:styleId="nfasisintenso">
    <w:name w:val="Intense Emphasis"/>
    <w:uiPriority w:val="21"/>
    <w:qFormat/>
    <w:rsid w:val="000352F7"/>
    <w:rPr>
      <w:b/>
      <w:bCs/>
      <w:caps/>
      <w:color w:val="021730" w:themeColor="accent1" w:themeShade="7F"/>
      <w:spacing w:val="10"/>
    </w:rPr>
  </w:style>
  <w:style w:type="character" w:styleId="Referenciasutil">
    <w:name w:val="Subtle Reference"/>
    <w:uiPriority w:val="31"/>
    <w:qFormat/>
    <w:rsid w:val="000352F7"/>
    <w:rPr>
      <w:b/>
      <w:bCs/>
      <w:color w:val="052F61" w:themeColor="accent1"/>
    </w:rPr>
  </w:style>
  <w:style w:type="character" w:styleId="Referenciaintensa">
    <w:name w:val="Intense Reference"/>
    <w:uiPriority w:val="32"/>
    <w:qFormat/>
    <w:rsid w:val="000352F7"/>
    <w:rPr>
      <w:b/>
      <w:bCs/>
      <w:i/>
      <w:iCs/>
      <w:caps/>
      <w:color w:val="052F61" w:themeColor="accent1"/>
    </w:rPr>
  </w:style>
  <w:style w:type="character" w:styleId="Ttulodellibro">
    <w:name w:val="Book Title"/>
    <w:uiPriority w:val="33"/>
    <w:qFormat/>
    <w:rsid w:val="000352F7"/>
    <w:rPr>
      <w:b/>
      <w:bCs/>
      <w:i/>
      <w:iCs/>
      <w:spacing w:val="0"/>
    </w:rPr>
  </w:style>
  <w:style w:type="paragraph" w:styleId="TtulodeTDC">
    <w:name w:val="TOC Heading"/>
    <w:basedOn w:val="Ttulo1"/>
    <w:next w:val="Normal"/>
    <w:uiPriority w:val="39"/>
    <w:semiHidden/>
    <w:unhideWhenUsed/>
    <w:qFormat/>
    <w:rsid w:val="000352F7"/>
    <w:pPr>
      <w:outlineLvl w:val="9"/>
    </w:pPr>
  </w:style>
  <w:style w:type="paragraph" w:styleId="Textoindependiente">
    <w:name w:val="Body Text"/>
    <w:basedOn w:val="Normal"/>
    <w:link w:val="TextoindependienteCar"/>
    <w:rsid w:val="00AD5AB7"/>
    <w:pPr>
      <w:widowControl w:val="0"/>
      <w:spacing w:before="0" w:after="0" w:line="240" w:lineRule="auto"/>
      <w:jc w:val="both"/>
    </w:pPr>
    <w:rPr>
      <w:rFonts w:ascii="Arial" w:eastAsia="Times New Roman" w:hAnsi="Arial" w:cs="Times New Roman"/>
      <w:szCs w:val="24"/>
      <w:lang w:val="x-none" w:eastAsia="es-ES"/>
    </w:rPr>
  </w:style>
  <w:style w:type="character" w:customStyle="1" w:styleId="TextoindependienteCar">
    <w:name w:val="Texto independiente Car"/>
    <w:basedOn w:val="Fuentedeprrafopredeter"/>
    <w:link w:val="Textoindependiente"/>
    <w:rsid w:val="00AD5AB7"/>
    <w:rPr>
      <w:rFonts w:ascii="Arial" w:eastAsia="Times New Roman" w:hAnsi="Arial" w:cs="Times New Roman"/>
      <w:szCs w:val="24"/>
      <w:lang w:val="x-none" w:eastAsia="es-ES"/>
    </w:rPr>
  </w:style>
  <w:style w:type="paragraph" w:styleId="Prrafodelista">
    <w:name w:val="List Paragraph"/>
    <w:basedOn w:val="Normal"/>
    <w:uiPriority w:val="34"/>
    <w:qFormat/>
    <w:rsid w:val="00AD5AB7"/>
    <w:pPr>
      <w:spacing w:before="0" w:after="0" w:line="240" w:lineRule="auto"/>
      <w:ind w:left="708"/>
    </w:pPr>
    <w:rPr>
      <w:rFonts w:ascii="Arial" w:eastAsia="Times New Roman" w:hAnsi="Arial" w:cs="Arial"/>
      <w:sz w:val="24"/>
      <w:szCs w:val="24"/>
      <w:lang w:eastAsia="es-MX"/>
    </w:rPr>
  </w:style>
  <w:style w:type="paragraph" w:styleId="Textodeglobo">
    <w:name w:val="Balloon Text"/>
    <w:basedOn w:val="Normal"/>
    <w:link w:val="TextodegloboCar"/>
    <w:uiPriority w:val="99"/>
    <w:semiHidden/>
    <w:unhideWhenUsed/>
    <w:rsid w:val="004C38A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38A7"/>
    <w:rPr>
      <w:rFonts w:ascii="Segoe UI" w:hAnsi="Segoe UI" w:cs="Segoe UI"/>
      <w:sz w:val="18"/>
      <w:szCs w:val="18"/>
    </w:rPr>
  </w:style>
  <w:style w:type="table" w:customStyle="1" w:styleId="Cuadrculadetablaclara1">
    <w:name w:val="Cuadrícula de tabla clara1"/>
    <w:basedOn w:val="Tablanormal"/>
    <w:uiPriority w:val="40"/>
    <w:rsid w:val="00C35C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41">
    <w:name w:val="Tabla normal 41"/>
    <w:basedOn w:val="Tablanormal"/>
    <w:uiPriority w:val="44"/>
    <w:rsid w:val="00C35C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700">
      <w:bodyDiv w:val="1"/>
      <w:marLeft w:val="0"/>
      <w:marRight w:val="0"/>
      <w:marTop w:val="0"/>
      <w:marBottom w:val="0"/>
      <w:divBdr>
        <w:top w:val="none" w:sz="0" w:space="0" w:color="auto"/>
        <w:left w:val="none" w:sz="0" w:space="0" w:color="auto"/>
        <w:bottom w:val="none" w:sz="0" w:space="0" w:color="auto"/>
        <w:right w:val="none" w:sz="0" w:space="0" w:color="auto"/>
      </w:divBdr>
    </w:div>
    <w:div w:id="13574692">
      <w:bodyDiv w:val="1"/>
      <w:marLeft w:val="0"/>
      <w:marRight w:val="0"/>
      <w:marTop w:val="0"/>
      <w:marBottom w:val="0"/>
      <w:divBdr>
        <w:top w:val="none" w:sz="0" w:space="0" w:color="auto"/>
        <w:left w:val="none" w:sz="0" w:space="0" w:color="auto"/>
        <w:bottom w:val="none" w:sz="0" w:space="0" w:color="auto"/>
        <w:right w:val="none" w:sz="0" w:space="0" w:color="auto"/>
      </w:divBdr>
    </w:div>
    <w:div w:id="34962448">
      <w:bodyDiv w:val="1"/>
      <w:marLeft w:val="0"/>
      <w:marRight w:val="0"/>
      <w:marTop w:val="0"/>
      <w:marBottom w:val="0"/>
      <w:divBdr>
        <w:top w:val="none" w:sz="0" w:space="0" w:color="auto"/>
        <w:left w:val="none" w:sz="0" w:space="0" w:color="auto"/>
        <w:bottom w:val="none" w:sz="0" w:space="0" w:color="auto"/>
        <w:right w:val="none" w:sz="0" w:space="0" w:color="auto"/>
      </w:divBdr>
    </w:div>
    <w:div w:id="39668674">
      <w:bodyDiv w:val="1"/>
      <w:marLeft w:val="0"/>
      <w:marRight w:val="0"/>
      <w:marTop w:val="0"/>
      <w:marBottom w:val="0"/>
      <w:divBdr>
        <w:top w:val="none" w:sz="0" w:space="0" w:color="auto"/>
        <w:left w:val="none" w:sz="0" w:space="0" w:color="auto"/>
        <w:bottom w:val="none" w:sz="0" w:space="0" w:color="auto"/>
        <w:right w:val="none" w:sz="0" w:space="0" w:color="auto"/>
      </w:divBdr>
    </w:div>
    <w:div w:id="78721230">
      <w:bodyDiv w:val="1"/>
      <w:marLeft w:val="0"/>
      <w:marRight w:val="0"/>
      <w:marTop w:val="0"/>
      <w:marBottom w:val="0"/>
      <w:divBdr>
        <w:top w:val="none" w:sz="0" w:space="0" w:color="auto"/>
        <w:left w:val="none" w:sz="0" w:space="0" w:color="auto"/>
        <w:bottom w:val="none" w:sz="0" w:space="0" w:color="auto"/>
        <w:right w:val="none" w:sz="0" w:space="0" w:color="auto"/>
      </w:divBdr>
    </w:div>
    <w:div w:id="104160280">
      <w:bodyDiv w:val="1"/>
      <w:marLeft w:val="0"/>
      <w:marRight w:val="0"/>
      <w:marTop w:val="0"/>
      <w:marBottom w:val="0"/>
      <w:divBdr>
        <w:top w:val="none" w:sz="0" w:space="0" w:color="auto"/>
        <w:left w:val="none" w:sz="0" w:space="0" w:color="auto"/>
        <w:bottom w:val="none" w:sz="0" w:space="0" w:color="auto"/>
        <w:right w:val="none" w:sz="0" w:space="0" w:color="auto"/>
      </w:divBdr>
    </w:div>
    <w:div w:id="105278728">
      <w:bodyDiv w:val="1"/>
      <w:marLeft w:val="0"/>
      <w:marRight w:val="0"/>
      <w:marTop w:val="0"/>
      <w:marBottom w:val="0"/>
      <w:divBdr>
        <w:top w:val="none" w:sz="0" w:space="0" w:color="auto"/>
        <w:left w:val="none" w:sz="0" w:space="0" w:color="auto"/>
        <w:bottom w:val="none" w:sz="0" w:space="0" w:color="auto"/>
        <w:right w:val="none" w:sz="0" w:space="0" w:color="auto"/>
      </w:divBdr>
    </w:div>
    <w:div w:id="119808832">
      <w:bodyDiv w:val="1"/>
      <w:marLeft w:val="0"/>
      <w:marRight w:val="0"/>
      <w:marTop w:val="0"/>
      <w:marBottom w:val="0"/>
      <w:divBdr>
        <w:top w:val="none" w:sz="0" w:space="0" w:color="auto"/>
        <w:left w:val="none" w:sz="0" w:space="0" w:color="auto"/>
        <w:bottom w:val="none" w:sz="0" w:space="0" w:color="auto"/>
        <w:right w:val="none" w:sz="0" w:space="0" w:color="auto"/>
      </w:divBdr>
    </w:div>
    <w:div w:id="143665734">
      <w:bodyDiv w:val="1"/>
      <w:marLeft w:val="0"/>
      <w:marRight w:val="0"/>
      <w:marTop w:val="0"/>
      <w:marBottom w:val="0"/>
      <w:divBdr>
        <w:top w:val="none" w:sz="0" w:space="0" w:color="auto"/>
        <w:left w:val="none" w:sz="0" w:space="0" w:color="auto"/>
        <w:bottom w:val="none" w:sz="0" w:space="0" w:color="auto"/>
        <w:right w:val="none" w:sz="0" w:space="0" w:color="auto"/>
      </w:divBdr>
    </w:div>
    <w:div w:id="165092780">
      <w:bodyDiv w:val="1"/>
      <w:marLeft w:val="0"/>
      <w:marRight w:val="0"/>
      <w:marTop w:val="0"/>
      <w:marBottom w:val="0"/>
      <w:divBdr>
        <w:top w:val="none" w:sz="0" w:space="0" w:color="auto"/>
        <w:left w:val="none" w:sz="0" w:space="0" w:color="auto"/>
        <w:bottom w:val="none" w:sz="0" w:space="0" w:color="auto"/>
        <w:right w:val="none" w:sz="0" w:space="0" w:color="auto"/>
      </w:divBdr>
    </w:div>
    <w:div w:id="180894337">
      <w:bodyDiv w:val="1"/>
      <w:marLeft w:val="0"/>
      <w:marRight w:val="0"/>
      <w:marTop w:val="0"/>
      <w:marBottom w:val="0"/>
      <w:divBdr>
        <w:top w:val="none" w:sz="0" w:space="0" w:color="auto"/>
        <w:left w:val="none" w:sz="0" w:space="0" w:color="auto"/>
        <w:bottom w:val="none" w:sz="0" w:space="0" w:color="auto"/>
        <w:right w:val="none" w:sz="0" w:space="0" w:color="auto"/>
      </w:divBdr>
    </w:div>
    <w:div w:id="210843876">
      <w:bodyDiv w:val="1"/>
      <w:marLeft w:val="0"/>
      <w:marRight w:val="0"/>
      <w:marTop w:val="0"/>
      <w:marBottom w:val="0"/>
      <w:divBdr>
        <w:top w:val="none" w:sz="0" w:space="0" w:color="auto"/>
        <w:left w:val="none" w:sz="0" w:space="0" w:color="auto"/>
        <w:bottom w:val="none" w:sz="0" w:space="0" w:color="auto"/>
        <w:right w:val="none" w:sz="0" w:space="0" w:color="auto"/>
      </w:divBdr>
    </w:div>
    <w:div w:id="266432147">
      <w:bodyDiv w:val="1"/>
      <w:marLeft w:val="0"/>
      <w:marRight w:val="0"/>
      <w:marTop w:val="0"/>
      <w:marBottom w:val="0"/>
      <w:divBdr>
        <w:top w:val="none" w:sz="0" w:space="0" w:color="auto"/>
        <w:left w:val="none" w:sz="0" w:space="0" w:color="auto"/>
        <w:bottom w:val="none" w:sz="0" w:space="0" w:color="auto"/>
        <w:right w:val="none" w:sz="0" w:space="0" w:color="auto"/>
      </w:divBdr>
    </w:div>
    <w:div w:id="306278607">
      <w:bodyDiv w:val="1"/>
      <w:marLeft w:val="0"/>
      <w:marRight w:val="0"/>
      <w:marTop w:val="0"/>
      <w:marBottom w:val="0"/>
      <w:divBdr>
        <w:top w:val="none" w:sz="0" w:space="0" w:color="auto"/>
        <w:left w:val="none" w:sz="0" w:space="0" w:color="auto"/>
        <w:bottom w:val="none" w:sz="0" w:space="0" w:color="auto"/>
        <w:right w:val="none" w:sz="0" w:space="0" w:color="auto"/>
      </w:divBdr>
    </w:div>
    <w:div w:id="340203485">
      <w:bodyDiv w:val="1"/>
      <w:marLeft w:val="0"/>
      <w:marRight w:val="0"/>
      <w:marTop w:val="0"/>
      <w:marBottom w:val="0"/>
      <w:divBdr>
        <w:top w:val="none" w:sz="0" w:space="0" w:color="auto"/>
        <w:left w:val="none" w:sz="0" w:space="0" w:color="auto"/>
        <w:bottom w:val="none" w:sz="0" w:space="0" w:color="auto"/>
        <w:right w:val="none" w:sz="0" w:space="0" w:color="auto"/>
      </w:divBdr>
    </w:div>
    <w:div w:id="341901791">
      <w:bodyDiv w:val="1"/>
      <w:marLeft w:val="0"/>
      <w:marRight w:val="0"/>
      <w:marTop w:val="0"/>
      <w:marBottom w:val="0"/>
      <w:divBdr>
        <w:top w:val="none" w:sz="0" w:space="0" w:color="auto"/>
        <w:left w:val="none" w:sz="0" w:space="0" w:color="auto"/>
        <w:bottom w:val="none" w:sz="0" w:space="0" w:color="auto"/>
        <w:right w:val="none" w:sz="0" w:space="0" w:color="auto"/>
      </w:divBdr>
    </w:div>
    <w:div w:id="385221383">
      <w:bodyDiv w:val="1"/>
      <w:marLeft w:val="0"/>
      <w:marRight w:val="0"/>
      <w:marTop w:val="0"/>
      <w:marBottom w:val="0"/>
      <w:divBdr>
        <w:top w:val="none" w:sz="0" w:space="0" w:color="auto"/>
        <w:left w:val="none" w:sz="0" w:space="0" w:color="auto"/>
        <w:bottom w:val="none" w:sz="0" w:space="0" w:color="auto"/>
        <w:right w:val="none" w:sz="0" w:space="0" w:color="auto"/>
      </w:divBdr>
    </w:div>
    <w:div w:id="390883632">
      <w:bodyDiv w:val="1"/>
      <w:marLeft w:val="0"/>
      <w:marRight w:val="0"/>
      <w:marTop w:val="0"/>
      <w:marBottom w:val="0"/>
      <w:divBdr>
        <w:top w:val="none" w:sz="0" w:space="0" w:color="auto"/>
        <w:left w:val="none" w:sz="0" w:space="0" w:color="auto"/>
        <w:bottom w:val="none" w:sz="0" w:space="0" w:color="auto"/>
        <w:right w:val="none" w:sz="0" w:space="0" w:color="auto"/>
      </w:divBdr>
    </w:div>
    <w:div w:id="395009550">
      <w:bodyDiv w:val="1"/>
      <w:marLeft w:val="0"/>
      <w:marRight w:val="0"/>
      <w:marTop w:val="0"/>
      <w:marBottom w:val="0"/>
      <w:divBdr>
        <w:top w:val="none" w:sz="0" w:space="0" w:color="auto"/>
        <w:left w:val="none" w:sz="0" w:space="0" w:color="auto"/>
        <w:bottom w:val="none" w:sz="0" w:space="0" w:color="auto"/>
        <w:right w:val="none" w:sz="0" w:space="0" w:color="auto"/>
      </w:divBdr>
    </w:div>
    <w:div w:id="402527446">
      <w:bodyDiv w:val="1"/>
      <w:marLeft w:val="0"/>
      <w:marRight w:val="0"/>
      <w:marTop w:val="0"/>
      <w:marBottom w:val="0"/>
      <w:divBdr>
        <w:top w:val="none" w:sz="0" w:space="0" w:color="auto"/>
        <w:left w:val="none" w:sz="0" w:space="0" w:color="auto"/>
        <w:bottom w:val="none" w:sz="0" w:space="0" w:color="auto"/>
        <w:right w:val="none" w:sz="0" w:space="0" w:color="auto"/>
      </w:divBdr>
    </w:div>
    <w:div w:id="423693395">
      <w:bodyDiv w:val="1"/>
      <w:marLeft w:val="0"/>
      <w:marRight w:val="0"/>
      <w:marTop w:val="0"/>
      <w:marBottom w:val="0"/>
      <w:divBdr>
        <w:top w:val="none" w:sz="0" w:space="0" w:color="auto"/>
        <w:left w:val="none" w:sz="0" w:space="0" w:color="auto"/>
        <w:bottom w:val="none" w:sz="0" w:space="0" w:color="auto"/>
        <w:right w:val="none" w:sz="0" w:space="0" w:color="auto"/>
      </w:divBdr>
    </w:div>
    <w:div w:id="425462767">
      <w:bodyDiv w:val="1"/>
      <w:marLeft w:val="0"/>
      <w:marRight w:val="0"/>
      <w:marTop w:val="0"/>
      <w:marBottom w:val="0"/>
      <w:divBdr>
        <w:top w:val="none" w:sz="0" w:space="0" w:color="auto"/>
        <w:left w:val="none" w:sz="0" w:space="0" w:color="auto"/>
        <w:bottom w:val="none" w:sz="0" w:space="0" w:color="auto"/>
        <w:right w:val="none" w:sz="0" w:space="0" w:color="auto"/>
      </w:divBdr>
    </w:div>
    <w:div w:id="430010046">
      <w:bodyDiv w:val="1"/>
      <w:marLeft w:val="0"/>
      <w:marRight w:val="0"/>
      <w:marTop w:val="0"/>
      <w:marBottom w:val="0"/>
      <w:divBdr>
        <w:top w:val="none" w:sz="0" w:space="0" w:color="auto"/>
        <w:left w:val="none" w:sz="0" w:space="0" w:color="auto"/>
        <w:bottom w:val="none" w:sz="0" w:space="0" w:color="auto"/>
        <w:right w:val="none" w:sz="0" w:space="0" w:color="auto"/>
      </w:divBdr>
    </w:div>
    <w:div w:id="464784993">
      <w:bodyDiv w:val="1"/>
      <w:marLeft w:val="0"/>
      <w:marRight w:val="0"/>
      <w:marTop w:val="0"/>
      <w:marBottom w:val="0"/>
      <w:divBdr>
        <w:top w:val="none" w:sz="0" w:space="0" w:color="auto"/>
        <w:left w:val="none" w:sz="0" w:space="0" w:color="auto"/>
        <w:bottom w:val="none" w:sz="0" w:space="0" w:color="auto"/>
        <w:right w:val="none" w:sz="0" w:space="0" w:color="auto"/>
      </w:divBdr>
    </w:div>
    <w:div w:id="498351769">
      <w:bodyDiv w:val="1"/>
      <w:marLeft w:val="0"/>
      <w:marRight w:val="0"/>
      <w:marTop w:val="0"/>
      <w:marBottom w:val="0"/>
      <w:divBdr>
        <w:top w:val="none" w:sz="0" w:space="0" w:color="auto"/>
        <w:left w:val="none" w:sz="0" w:space="0" w:color="auto"/>
        <w:bottom w:val="none" w:sz="0" w:space="0" w:color="auto"/>
        <w:right w:val="none" w:sz="0" w:space="0" w:color="auto"/>
      </w:divBdr>
    </w:div>
    <w:div w:id="539322987">
      <w:bodyDiv w:val="1"/>
      <w:marLeft w:val="0"/>
      <w:marRight w:val="0"/>
      <w:marTop w:val="0"/>
      <w:marBottom w:val="0"/>
      <w:divBdr>
        <w:top w:val="none" w:sz="0" w:space="0" w:color="auto"/>
        <w:left w:val="none" w:sz="0" w:space="0" w:color="auto"/>
        <w:bottom w:val="none" w:sz="0" w:space="0" w:color="auto"/>
        <w:right w:val="none" w:sz="0" w:space="0" w:color="auto"/>
      </w:divBdr>
    </w:div>
    <w:div w:id="616909828">
      <w:bodyDiv w:val="1"/>
      <w:marLeft w:val="0"/>
      <w:marRight w:val="0"/>
      <w:marTop w:val="0"/>
      <w:marBottom w:val="0"/>
      <w:divBdr>
        <w:top w:val="none" w:sz="0" w:space="0" w:color="auto"/>
        <w:left w:val="none" w:sz="0" w:space="0" w:color="auto"/>
        <w:bottom w:val="none" w:sz="0" w:space="0" w:color="auto"/>
        <w:right w:val="none" w:sz="0" w:space="0" w:color="auto"/>
      </w:divBdr>
    </w:div>
    <w:div w:id="632250750">
      <w:bodyDiv w:val="1"/>
      <w:marLeft w:val="0"/>
      <w:marRight w:val="0"/>
      <w:marTop w:val="0"/>
      <w:marBottom w:val="0"/>
      <w:divBdr>
        <w:top w:val="none" w:sz="0" w:space="0" w:color="auto"/>
        <w:left w:val="none" w:sz="0" w:space="0" w:color="auto"/>
        <w:bottom w:val="none" w:sz="0" w:space="0" w:color="auto"/>
        <w:right w:val="none" w:sz="0" w:space="0" w:color="auto"/>
      </w:divBdr>
    </w:div>
    <w:div w:id="655378865">
      <w:bodyDiv w:val="1"/>
      <w:marLeft w:val="0"/>
      <w:marRight w:val="0"/>
      <w:marTop w:val="0"/>
      <w:marBottom w:val="0"/>
      <w:divBdr>
        <w:top w:val="none" w:sz="0" w:space="0" w:color="auto"/>
        <w:left w:val="none" w:sz="0" w:space="0" w:color="auto"/>
        <w:bottom w:val="none" w:sz="0" w:space="0" w:color="auto"/>
        <w:right w:val="none" w:sz="0" w:space="0" w:color="auto"/>
      </w:divBdr>
    </w:div>
    <w:div w:id="659232932">
      <w:bodyDiv w:val="1"/>
      <w:marLeft w:val="0"/>
      <w:marRight w:val="0"/>
      <w:marTop w:val="0"/>
      <w:marBottom w:val="0"/>
      <w:divBdr>
        <w:top w:val="none" w:sz="0" w:space="0" w:color="auto"/>
        <w:left w:val="none" w:sz="0" w:space="0" w:color="auto"/>
        <w:bottom w:val="none" w:sz="0" w:space="0" w:color="auto"/>
        <w:right w:val="none" w:sz="0" w:space="0" w:color="auto"/>
      </w:divBdr>
    </w:div>
    <w:div w:id="682510187">
      <w:bodyDiv w:val="1"/>
      <w:marLeft w:val="0"/>
      <w:marRight w:val="0"/>
      <w:marTop w:val="0"/>
      <w:marBottom w:val="0"/>
      <w:divBdr>
        <w:top w:val="none" w:sz="0" w:space="0" w:color="auto"/>
        <w:left w:val="none" w:sz="0" w:space="0" w:color="auto"/>
        <w:bottom w:val="none" w:sz="0" w:space="0" w:color="auto"/>
        <w:right w:val="none" w:sz="0" w:space="0" w:color="auto"/>
      </w:divBdr>
    </w:div>
    <w:div w:id="728960093">
      <w:bodyDiv w:val="1"/>
      <w:marLeft w:val="0"/>
      <w:marRight w:val="0"/>
      <w:marTop w:val="0"/>
      <w:marBottom w:val="0"/>
      <w:divBdr>
        <w:top w:val="none" w:sz="0" w:space="0" w:color="auto"/>
        <w:left w:val="none" w:sz="0" w:space="0" w:color="auto"/>
        <w:bottom w:val="none" w:sz="0" w:space="0" w:color="auto"/>
        <w:right w:val="none" w:sz="0" w:space="0" w:color="auto"/>
      </w:divBdr>
    </w:div>
    <w:div w:id="733311103">
      <w:bodyDiv w:val="1"/>
      <w:marLeft w:val="0"/>
      <w:marRight w:val="0"/>
      <w:marTop w:val="0"/>
      <w:marBottom w:val="0"/>
      <w:divBdr>
        <w:top w:val="none" w:sz="0" w:space="0" w:color="auto"/>
        <w:left w:val="none" w:sz="0" w:space="0" w:color="auto"/>
        <w:bottom w:val="none" w:sz="0" w:space="0" w:color="auto"/>
        <w:right w:val="none" w:sz="0" w:space="0" w:color="auto"/>
      </w:divBdr>
    </w:div>
    <w:div w:id="743915015">
      <w:bodyDiv w:val="1"/>
      <w:marLeft w:val="0"/>
      <w:marRight w:val="0"/>
      <w:marTop w:val="0"/>
      <w:marBottom w:val="0"/>
      <w:divBdr>
        <w:top w:val="none" w:sz="0" w:space="0" w:color="auto"/>
        <w:left w:val="none" w:sz="0" w:space="0" w:color="auto"/>
        <w:bottom w:val="none" w:sz="0" w:space="0" w:color="auto"/>
        <w:right w:val="none" w:sz="0" w:space="0" w:color="auto"/>
      </w:divBdr>
    </w:div>
    <w:div w:id="763232994">
      <w:bodyDiv w:val="1"/>
      <w:marLeft w:val="0"/>
      <w:marRight w:val="0"/>
      <w:marTop w:val="0"/>
      <w:marBottom w:val="0"/>
      <w:divBdr>
        <w:top w:val="none" w:sz="0" w:space="0" w:color="auto"/>
        <w:left w:val="none" w:sz="0" w:space="0" w:color="auto"/>
        <w:bottom w:val="none" w:sz="0" w:space="0" w:color="auto"/>
        <w:right w:val="none" w:sz="0" w:space="0" w:color="auto"/>
      </w:divBdr>
    </w:div>
    <w:div w:id="781729588">
      <w:bodyDiv w:val="1"/>
      <w:marLeft w:val="0"/>
      <w:marRight w:val="0"/>
      <w:marTop w:val="0"/>
      <w:marBottom w:val="0"/>
      <w:divBdr>
        <w:top w:val="none" w:sz="0" w:space="0" w:color="auto"/>
        <w:left w:val="none" w:sz="0" w:space="0" w:color="auto"/>
        <w:bottom w:val="none" w:sz="0" w:space="0" w:color="auto"/>
        <w:right w:val="none" w:sz="0" w:space="0" w:color="auto"/>
      </w:divBdr>
    </w:div>
    <w:div w:id="786387264">
      <w:bodyDiv w:val="1"/>
      <w:marLeft w:val="0"/>
      <w:marRight w:val="0"/>
      <w:marTop w:val="0"/>
      <w:marBottom w:val="0"/>
      <w:divBdr>
        <w:top w:val="none" w:sz="0" w:space="0" w:color="auto"/>
        <w:left w:val="none" w:sz="0" w:space="0" w:color="auto"/>
        <w:bottom w:val="none" w:sz="0" w:space="0" w:color="auto"/>
        <w:right w:val="none" w:sz="0" w:space="0" w:color="auto"/>
      </w:divBdr>
    </w:div>
    <w:div w:id="817647555">
      <w:bodyDiv w:val="1"/>
      <w:marLeft w:val="0"/>
      <w:marRight w:val="0"/>
      <w:marTop w:val="0"/>
      <w:marBottom w:val="0"/>
      <w:divBdr>
        <w:top w:val="none" w:sz="0" w:space="0" w:color="auto"/>
        <w:left w:val="none" w:sz="0" w:space="0" w:color="auto"/>
        <w:bottom w:val="none" w:sz="0" w:space="0" w:color="auto"/>
        <w:right w:val="none" w:sz="0" w:space="0" w:color="auto"/>
      </w:divBdr>
    </w:div>
    <w:div w:id="828011824">
      <w:bodyDiv w:val="1"/>
      <w:marLeft w:val="0"/>
      <w:marRight w:val="0"/>
      <w:marTop w:val="0"/>
      <w:marBottom w:val="0"/>
      <w:divBdr>
        <w:top w:val="none" w:sz="0" w:space="0" w:color="auto"/>
        <w:left w:val="none" w:sz="0" w:space="0" w:color="auto"/>
        <w:bottom w:val="none" w:sz="0" w:space="0" w:color="auto"/>
        <w:right w:val="none" w:sz="0" w:space="0" w:color="auto"/>
      </w:divBdr>
    </w:div>
    <w:div w:id="835532440">
      <w:bodyDiv w:val="1"/>
      <w:marLeft w:val="0"/>
      <w:marRight w:val="0"/>
      <w:marTop w:val="0"/>
      <w:marBottom w:val="0"/>
      <w:divBdr>
        <w:top w:val="none" w:sz="0" w:space="0" w:color="auto"/>
        <w:left w:val="none" w:sz="0" w:space="0" w:color="auto"/>
        <w:bottom w:val="none" w:sz="0" w:space="0" w:color="auto"/>
        <w:right w:val="none" w:sz="0" w:space="0" w:color="auto"/>
      </w:divBdr>
    </w:div>
    <w:div w:id="837773265">
      <w:bodyDiv w:val="1"/>
      <w:marLeft w:val="0"/>
      <w:marRight w:val="0"/>
      <w:marTop w:val="0"/>
      <w:marBottom w:val="0"/>
      <w:divBdr>
        <w:top w:val="none" w:sz="0" w:space="0" w:color="auto"/>
        <w:left w:val="none" w:sz="0" w:space="0" w:color="auto"/>
        <w:bottom w:val="none" w:sz="0" w:space="0" w:color="auto"/>
        <w:right w:val="none" w:sz="0" w:space="0" w:color="auto"/>
      </w:divBdr>
    </w:div>
    <w:div w:id="850879404">
      <w:bodyDiv w:val="1"/>
      <w:marLeft w:val="0"/>
      <w:marRight w:val="0"/>
      <w:marTop w:val="0"/>
      <w:marBottom w:val="0"/>
      <w:divBdr>
        <w:top w:val="none" w:sz="0" w:space="0" w:color="auto"/>
        <w:left w:val="none" w:sz="0" w:space="0" w:color="auto"/>
        <w:bottom w:val="none" w:sz="0" w:space="0" w:color="auto"/>
        <w:right w:val="none" w:sz="0" w:space="0" w:color="auto"/>
      </w:divBdr>
    </w:div>
    <w:div w:id="860824038">
      <w:bodyDiv w:val="1"/>
      <w:marLeft w:val="0"/>
      <w:marRight w:val="0"/>
      <w:marTop w:val="0"/>
      <w:marBottom w:val="0"/>
      <w:divBdr>
        <w:top w:val="none" w:sz="0" w:space="0" w:color="auto"/>
        <w:left w:val="none" w:sz="0" w:space="0" w:color="auto"/>
        <w:bottom w:val="none" w:sz="0" w:space="0" w:color="auto"/>
        <w:right w:val="none" w:sz="0" w:space="0" w:color="auto"/>
      </w:divBdr>
    </w:div>
    <w:div w:id="878515590">
      <w:bodyDiv w:val="1"/>
      <w:marLeft w:val="0"/>
      <w:marRight w:val="0"/>
      <w:marTop w:val="0"/>
      <w:marBottom w:val="0"/>
      <w:divBdr>
        <w:top w:val="none" w:sz="0" w:space="0" w:color="auto"/>
        <w:left w:val="none" w:sz="0" w:space="0" w:color="auto"/>
        <w:bottom w:val="none" w:sz="0" w:space="0" w:color="auto"/>
        <w:right w:val="none" w:sz="0" w:space="0" w:color="auto"/>
      </w:divBdr>
    </w:div>
    <w:div w:id="888031349">
      <w:bodyDiv w:val="1"/>
      <w:marLeft w:val="0"/>
      <w:marRight w:val="0"/>
      <w:marTop w:val="0"/>
      <w:marBottom w:val="0"/>
      <w:divBdr>
        <w:top w:val="none" w:sz="0" w:space="0" w:color="auto"/>
        <w:left w:val="none" w:sz="0" w:space="0" w:color="auto"/>
        <w:bottom w:val="none" w:sz="0" w:space="0" w:color="auto"/>
        <w:right w:val="none" w:sz="0" w:space="0" w:color="auto"/>
      </w:divBdr>
    </w:div>
    <w:div w:id="908149781">
      <w:bodyDiv w:val="1"/>
      <w:marLeft w:val="0"/>
      <w:marRight w:val="0"/>
      <w:marTop w:val="0"/>
      <w:marBottom w:val="0"/>
      <w:divBdr>
        <w:top w:val="none" w:sz="0" w:space="0" w:color="auto"/>
        <w:left w:val="none" w:sz="0" w:space="0" w:color="auto"/>
        <w:bottom w:val="none" w:sz="0" w:space="0" w:color="auto"/>
        <w:right w:val="none" w:sz="0" w:space="0" w:color="auto"/>
      </w:divBdr>
    </w:div>
    <w:div w:id="918951310">
      <w:bodyDiv w:val="1"/>
      <w:marLeft w:val="0"/>
      <w:marRight w:val="0"/>
      <w:marTop w:val="0"/>
      <w:marBottom w:val="0"/>
      <w:divBdr>
        <w:top w:val="none" w:sz="0" w:space="0" w:color="auto"/>
        <w:left w:val="none" w:sz="0" w:space="0" w:color="auto"/>
        <w:bottom w:val="none" w:sz="0" w:space="0" w:color="auto"/>
        <w:right w:val="none" w:sz="0" w:space="0" w:color="auto"/>
      </w:divBdr>
    </w:div>
    <w:div w:id="1006712010">
      <w:bodyDiv w:val="1"/>
      <w:marLeft w:val="0"/>
      <w:marRight w:val="0"/>
      <w:marTop w:val="0"/>
      <w:marBottom w:val="0"/>
      <w:divBdr>
        <w:top w:val="none" w:sz="0" w:space="0" w:color="auto"/>
        <w:left w:val="none" w:sz="0" w:space="0" w:color="auto"/>
        <w:bottom w:val="none" w:sz="0" w:space="0" w:color="auto"/>
        <w:right w:val="none" w:sz="0" w:space="0" w:color="auto"/>
      </w:divBdr>
    </w:div>
    <w:div w:id="1015575164">
      <w:bodyDiv w:val="1"/>
      <w:marLeft w:val="0"/>
      <w:marRight w:val="0"/>
      <w:marTop w:val="0"/>
      <w:marBottom w:val="0"/>
      <w:divBdr>
        <w:top w:val="none" w:sz="0" w:space="0" w:color="auto"/>
        <w:left w:val="none" w:sz="0" w:space="0" w:color="auto"/>
        <w:bottom w:val="none" w:sz="0" w:space="0" w:color="auto"/>
        <w:right w:val="none" w:sz="0" w:space="0" w:color="auto"/>
      </w:divBdr>
    </w:div>
    <w:div w:id="1017468449">
      <w:bodyDiv w:val="1"/>
      <w:marLeft w:val="0"/>
      <w:marRight w:val="0"/>
      <w:marTop w:val="0"/>
      <w:marBottom w:val="0"/>
      <w:divBdr>
        <w:top w:val="none" w:sz="0" w:space="0" w:color="auto"/>
        <w:left w:val="none" w:sz="0" w:space="0" w:color="auto"/>
        <w:bottom w:val="none" w:sz="0" w:space="0" w:color="auto"/>
        <w:right w:val="none" w:sz="0" w:space="0" w:color="auto"/>
      </w:divBdr>
    </w:div>
    <w:div w:id="1020862843">
      <w:bodyDiv w:val="1"/>
      <w:marLeft w:val="0"/>
      <w:marRight w:val="0"/>
      <w:marTop w:val="0"/>
      <w:marBottom w:val="0"/>
      <w:divBdr>
        <w:top w:val="none" w:sz="0" w:space="0" w:color="auto"/>
        <w:left w:val="none" w:sz="0" w:space="0" w:color="auto"/>
        <w:bottom w:val="none" w:sz="0" w:space="0" w:color="auto"/>
        <w:right w:val="none" w:sz="0" w:space="0" w:color="auto"/>
      </w:divBdr>
    </w:div>
    <w:div w:id="1055659702">
      <w:bodyDiv w:val="1"/>
      <w:marLeft w:val="0"/>
      <w:marRight w:val="0"/>
      <w:marTop w:val="0"/>
      <w:marBottom w:val="0"/>
      <w:divBdr>
        <w:top w:val="none" w:sz="0" w:space="0" w:color="auto"/>
        <w:left w:val="none" w:sz="0" w:space="0" w:color="auto"/>
        <w:bottom w:val="none" w:sz="0" w:space="0" w:color="auto"/>
        <w:right w:val="none" w:sz="0" w:space="0" w:color="auto"/>
      </w:divBdr>
    </w:div>
    <w:div w:id="1056854072">
      <w:bodyDiv w:val="1"/>
      <w:marLeft w:val="0"/>
      <w:marRight w:val="0"/>
      <w:marTop w:val="0"/>
      <w:marBottom w:val="0"/>
      <w:divBdr>
        <w:top w:val="none" w:sz="0" w:space="0" w:color="auto"/>
        <w:left w:val="none" w:sz="0" w:space="0" w:color="auto"/>
        <w:bottom w:val="none" w:sz="0" w:space="0" w:color="auto"/>
        <w:right w:val="none" w:sz="0" w:space="0" w:color="auto"/>
      </w:divBdr>
    </w:div>
    <w:div w:id="1074736671">
      <w:bodyDiv w:val="1"/>
      <w:marLeft w:val="0"/>
      <w:marRight w:val="0"/>
      <w:marTop w:val="0"/>
      <w:marBottom w:val="0"/>
      <w:divBdr>
        <w:top w:val="none" w:sz="0" w:space="0" w:color="auto"/>
        <w:left w:val="none" w:sz="0" w:space="0" w:color="auto"/>
        <w:bottom w:val="none" w:sz="0" w:space="0" w:color="auto"/>
        <w:right w:val="none" w:sz="0" w:space="0" w:color="auto"/>
      </w:divBdr>
    </w:div>
    <w:div w:id="1077049942">
      <w:bodyDiv w:val="1"/>
      <w:marLeft w:val="0"/>
      <w:marRight w:val="0"/>
      <w:marTop w:val="0"/>
      <w:marBottom w:val="0"/>
      <w:divBdr>
        <w:top w:val="none" w:sz="0" w:space="0" w:color="auto"/>
        <w:left w:val="none" w:sz="0" w:space="0" w:color="auto"/>
        <w:bottom w:val="none" w:sz="0" w:space="0" w:color="auto"/>
        <w:right w:val="none" w:sz="0" w:space="0" w:color="auto"/>
      </w:divBdr>
    </w:div>
    <w:div w:id="1096246320">
      <w:bodyDiv w:val="1"/>
      <w:marLeft w:val="0"/>
      <w:marRight w:val="0"/>
      <w:marTop w:val="0"/>
      <w:marBottom w:val="0"/>
      <w:divBdr>
        <w:top w:val="none" w:sz="0" w:space="0" w:color="auto"/>
        <w:left w:val="none" w:sz="0" w:space="0" w:color="auto"/>
        <w:bottom w:val="none" w:sz="0" w:space="0" w:color="auto"/>
        <w:right w:val="none" w:sz="0" w:space="0" w:color="auto"/>
      </w:divBdr>
    </w:div>
    <w:div w:id="1149052885">
      <w:bodyDiv w:val="1"/>
      <w:marLeft w:val="0"/>
      <w:marRight w:val="0"/>
      <w:marTop w:val="0"/>
      <w:marBottom w:val="0"/>
      <w:divBdr>
        <w:top w:val="none" w:sz="0" w:space="0" w:color="auto"/>
        <w:left w:val="none" w:sz="0" w:space="0" w:color="auto"/>
        <w:bottom w:val="none" w:sz="0" w:space="0" w:color="auto"/>
        <w:right w:val="none" w:sz="0" w:space="0" w:color="auto"/>
      </w:divBdr>
    </w:div>
    <w:div w:id="1164081550">
      <w:bodyDiv w:val="1"/>
      <w:marLeft w:val="0"/>
      <w:marRight w:val="0"/>
      <w:marTop w:val="0"/>
      <w:marBottom w:val="0"/>
      <w:divBdr>
        <w:top w:val="none" w:sz="0" w:space="0" w:color="auto"/>
        <w:left w:val="none" w:sz="0" w:space="0" w:color="auto"/>
        <w:bottom w:val="none" w:sz="0" w:space="0" w:color="auto"/>
        <w:right w:val="none" w:sz="0" w:space="0" w:color="auto"/>
      </w:divBdr>
    </w:div>
    <w:div w:id="1182625593">
      <w:bodyDiv w:val="1"/>
      <w:marLeft w:val="0"/>
      <w:marRight w:val="0"/>
      <w:marTop w:val="0"/>
      <w:marBottom w:val="0"/>
      <w:divBdr>
        <w:top w:val="none" w:sz="0" w:space="0" w:color="auto"/>
        <w:left w:val="none" w:sz="0" w:space="0" w:color="auto"/>
        <w:bottom w:val="none" w:sz="0" w:space="0" w:color="auto"/>
        <w:right w:val="none" w:sz="0" w:space="0" w:color="auto"/>
      </w:divBdr>
    </w:div>
    <w:div w:id="1189368284">
      <w:bodyDiv w:val="1"/>
      <w:marLeft w:val="0"/>
      <w:marRight w:val="0"/>
      <w:marTop w:val="0"/>
      <w:marBottom w:val="0"/>
      <w:divBdr>
        <w:top w:val="none" w:sz="0" w:space="0" w:color="auto"/>
        <w:left w:val="none" w:sz="0" w:space="0" w:color="auto"/>
        <w:bottom w:val="none" w:sz="0" w:space="0" w:color="auto"/>
        <w:right w:val="none" w:sz="0" w:space="0" w:color="auto"/>
      </w:divBdr>
    </w:div>
    <w:div w:id="1192647851">
      <w:bodyDiv w:val="1"/>
      <w:marLeft w:val="0"/>
      <w:marRight w:val="0"/>
      <w:marTop w:val="0"/>
      <w:marBottom w:val="0"/>
      <w:divBdr>
        <w:top w:val="none" w:sz="0" w:space="0" w:color="auto"/>
        <w:left w:val="none" w:sz="0" w:space="0" w:color="auto"/>
        <w:bottom w:val="none" w:sz="0" w:space="0" w:color="auto"/>
        <w:right w:val="none" w:sz="0" w:space="0" w:color="auto"/>
      </w:divBdr>
    </w:div>
    <w:div w:id="1198466016">
      <w:bodyDiv w:val="1"/>
      <w:marLeft w:val="0"/>
      <w:marRight w:val="0"/>
      <w:marTop w:val="0"/>
      <w:marBottom w:val="0"/>
      <w:divBdr>
        <w:top w:val="none" w:sz="0" w:space="0" w:color="auto"/>
        <w:left w:val="none" w:sz="0" w:space="0" w:color="auto"/>
        <w:bottom w:val="none" w:sz="0" w:space="0" w:color="auto"/>
        <w:right w:val="none" w:sz="0" w:space="0" w:color="auto"/>
      </w:divBdr>
    </w:div>
    <w:div w:id="1219980128">
      <w:bodyDiv w:val="1"/>
      <w:marLeft w:val="0"/>
      <w:marRight w:val="0"/>
      <w:marTop w:val="0"/>
      <w:marBottom w:val="0"/>
      <w:divBdr>
        <w:top w:val="none" w:sz="0" w:space="0" w:color="auto"/>
        <w:left w:val="none" w:sz="0" w:space="0" w:color="auto"/>
        <w:bottom w:val="none" w:sz="0" w:space="0" w:color="auto"/>
        <w:right w:val="none" w:sz="0" w:space="0" w:color="auto"/>
      </w:divBdr>
    </w:div>
    <w:div w:id="1229921526">
      <w:bodyDiv w:val="1"/>
      <w:marLeft w:val="0"/>
      <w:marRight w:val="0"/>
      <w:marTop w:val="0"/>
      <w:marBottom w:val="0"/>
      <w:divBdr>
        <w:top w:val="none" w:sz="0" w:space="0" w:color="auto"/>
        <w:left w:val="none" w:sz="0" w:space="0" w:color="auto"/>
        <w:bottom w:val="none" w:sz="0" w:space="0" w:color="auto"/>
        <w:right w:val="none" w:sz="0" w:space="0" w:color="auto"/>
      </w:divBdr>
    </w:div>
    <w:div w:id="1233345012">
      <w:bodyDiv w:val="1"/>
      <w:marLeft w:val="0"/>
      <w:marRight w:val="0"/>
      <w:marTop w:val="0"/>
      <w:marBottom w:val="0"/>
      <w:divBdr>
        <w:top w:val="none" w:sz="0" w:space="0" w:color="auto"/>
        <w:left w:val="none" w:sz="0" w:space="0" w:color="auto"/>
        <w:bottom w:val="none" w:sz="0" w:space="0" w:color="auto"/>
        <w:right w:val="none" w:sz="0" w:space="0" w:color="auto"/>
      </w:divBdr>
    </w:div>
    <w:div w:id="1243829573">
      <w:bodyDiv w:val="1"/>
      <w:marLeft w:val="0"/>
      <w:marRight w:val="0"/>
      <w:marTop w:val="0"/>
      <w:marBottom w:val="0"/>
      <w:divBdr>
        <w:top w:val="none" w:sz="0" w:space="0" w:color="auto"/>
        <w:left w:val="none" w:sz="0" w:space="0" w:color="auto"/>
        <w:bottom w:val="none" w:sz="0" w:space="0" w:color="auto"/>
        <w:right w:val="none" w:sz="0" w:space="0" w:color="auto"/>
      </w:divBdr>
    </w:div>
    <w:div w:id="1318219164">
      <w:bodyDiv w:val="1"/>
      <w:marLeft w:val="0"/>
      <w:marRight w:val="0"/>
      <w:marTop w:val="0"/>
      <w:marBottom w:val="0"/>
      <w:divBdr>
        <w:top w:val="none" w:sz="0" w:space="0" w:color="auto"/>
        <w:left w:val="none" w:sz="0" w:space="0" w:color="auto"/>
        <w:bottom w:val="none" w:sz="0" w:space="0" w:color="auto"/>
        <w:right w:val="none" w:sz="0" w:space="0" w:color="auto"/>
      </w:divBdr>
    </w:div>
    <w:div w:id="1338121554">
      <w:bodyDiv w:val="1"/>
      <w:marLeft w:val="0"/>
      <w:marRight w:val="0"/>
      <w:marTop w:val="0"/>
      <w:marBottom w:val="0"/>
      <w:divBdr>
        <w:top w:val="none" w:sz="0" w:space="0" w:color="auto"/>
        <w:left w:val="none" w:sz="0" w:space="0" w:color="auto"/>
        <w:bottom w:val="none" w:sz="0" w:space="0" w:color="auto"/>
        <w:right w:val="none" w:sz="0" w:space="0" w:color="auto"/>
      </w:divBdr>
    </w:div>
    <w:div w:id="1348019919">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99740235">
      <w:bodyDiv w:val="1"/>
      <w:marLeft w:val="0"/>
      <w:marRight w:val="0"/>
      <w:marTop w:val="0"/>
      <w:marBottom w:val="0"/>
      <w:divBdr>
        <w:top w:val="none" w:sz="0" w:space="0" w:color="auto"/>
        <w:left w:val="none" w:sz="0" w:space="0" w:color="auto"/>
        <w:bottom w:val="none" w:sz="0" w:space="0" w:color="auto"/>
        <w:right w:val="none" w:sz="0" w:space="0" w:color="auto"/>
      </w:divBdr>
    </w:div>
    <w:div w:id="1411077681">
      <w:bodyDiv w:val="1"/>
      <w:marLeft w:val="0"/>
      <w:marRight w:val="0"/>
      <w:marTop w:val="0"/>
      <w:marBottom w:val="0"/>
      <w:divBdr>
        <w:top w:val="none" w:sz="0" w:space="0" w:color="auto"/>
        <w:left w:val="none" w:sz="0" w:space="0" w:color="auto"/>
        <w:bottom w:val="none" w:sz="0" w:space="0" w:color="auto"/>
        <w:right w:val="none" w:sz="0" w:space="0" w:color="auto"/>
      </w:divBdr>
    </w:div>
    <w:div w:id="1424493976">
      <w:bodyDiv w:val="1"/>
      <w:marLeft w:val="0"/>
      <w:marRight w:val="0"/>
      <w:marTop w:val="0"/>
      <w:marBottom w:val="0"/>
      <w:divBdr>
        <w:top w:val="none" w:sz="0" w:space="0" w:color="auto"/>
        <w:left w:val="none" w:sz="0" w:space="0" w:color="auto"/>
        <w:bottom w:val="none" w:sz="0" w:space="0" w:color="auto"/>
        <w:right w:val="none" w:sz="0" w:space="0" w:color="auto"/>
      </w:divBdr>
    </w:div>
    <w:div w:id="1455295044">
      <w:bodyDiv w:val="1"/>
      <w:marLeft w:val="0"/>
      <w:marRight w:val="0"/>
      <w:marTop w:val="0"/>
      <w:marBottom w:val="0"/>
      <w:divBdr>
        <w:top w:val="none" w:sz="0" w:space="0" w:color="auto"/>
        <w:left w:val="none" w:sz="0" w:space="0" w:color="auto"/>
        <w:bottom w:val="none" w:sz="0" w:space="0" w:color="auto"/>
        <w:right w:val="none" w:sz="0" w:space="0" w:color="auto"/>
      </w:divBdr>
    </w:div>
    <w:div w:id="1499997943">
      <w:bodyDiv w:val="1"/>
      <w:marLeft w:val="0"/>
      <w:marRight w:val="0"/>
      <w:marTop w:val="0"/>
      <w:marBottom w:val="0"/>
      <w:divBdr>
        <w:top w:val="none" w:sz="0" w:space="0" w:color="auto"/>
        <w:left w:val="none" w:sz="0" w:space="0" w:color="auto"/>
        <w:bottom w:val="none" w:sz="0" w:space="0" w:color="auto"/>
        <w:right w:val="none" w:sz="0" w:space="0" w:color="auto"/>
      </w:divBdr>
    </w:div>
    <w:div w:id="1514226453">
      <w:bodyDiv w:val="1"/>
      <w:marLeft w:val="0"/>
      <w:marRight w:val="0"/>
      <w:marTop w:val="0"/>
      <w:marBottom w:val="0"/>
      <w:divBdr>
        <w:top w:val="none" w:sz="0" w:space="0" w:color="auto"/>
        <w:left w:val="none" w:sz="0" w:space="0" w:color="auto"/>
        <w:bottom w:val="none" w:sz="0" w:space="0" w:color="auto"/>
        <w:right w:val="none" w:sz="0" w:space="0" w:color="auto"/>
      </w:divBdr>
    </w:div>
    <w:div w:id="1514301370">
      <w:bodyDiv w:val="1"/>
      <w:marLeft w:val="0"/>
      <w:marRight w:val="0"/>
      <w:marTop w:val="0"/>
      <w:marBottom w:val="0"/>
      <w:divBdr>
        <w:top w:val="none" w:sz="0" w:space="0" w:color="auto"/>
        <w:left w:val="none" w:sz="0" w:space="0" w:color="auto"/>
        <w:bottom w:val="none" w:sz="0" w:space="0" w:color="auto"/>
        <w:right w:val="none" w:sz="0" w:space="0" w:color="auto"/>
      </w:divBdr>
    </w:div>
    <w:div w:id="1517385242">
      <w:bodyDiv w:val="1"/>
      <w:marLeft w:val="0"/>
      <w:marRight w:val="0"/>
      <w:marTop w:val="0"/>
      <w:marBottom w:val="0"/>
      <w:divBdr>
        <w:top w:val="none" w:sz="0" w:space="0" w:color="auto"/>
        <w:left w:val="none" w:sz="0" w:space="0" w:color="auto"/>
        <w:bottom w:val="none" w:sz="0" w:space="0" w:color="auto"/>
        <w:right w:val="none" w:sz="0" w:space="0" w:color="auto"/>
      </w:divBdr>
    </w:div>
    <w:div w:id="1528836954">
      <w:bodyDiv w:val="1"/>
      <w:marLeft w:val="0"/>
      <w:marRight w:val="0"/>
      <w:marTop w:val="0"/>
      <w:marBottom w:val="0"/>
      <w:divBdr>
        <w:top w:val="none" w:sz="0" w:space="0" w:color="auto"/>
        <w:left w:val="none" w:sz="0" w:space="0" w:color="auto"/>
        <w:bottom w:val="none" w:sz="0" w:space="0" w:color="auto"/>
        <w:right w:val="none" w:sz="0" w:space="0" w:color="auto"/>
      </w:divBdr>
    </w:div>
    <w:div w:id="1542286008">
      <w:bodyDiv w:val="1"/>
      <w:marLeft w:val="0"/>
      <w:marRight w:val="0"/>
      <w:marTop w:val="0"/>
      <w:marBottom w:val="0"/>
      <w:divBdr>
        <w:top w:val="none" w:sz="0" w:space="0" w:color="auto"/>
        <w:left w:val="none" w:sz="0" w:space="0" w:color="auto"/>
        <w:bottom w:val="none" w:sz="0" w:space="0" w:color="auto"/>
        <w:right w:val="none" w:sz="0" w:space="0" w:color="auto"/>
      </w:divBdr>
    </w:div>
    <w:div w:id="1594440034">
      <w:bodyDiv w:val="1"/>
      <w:marLeft w:val="0"/>
      <w:marRight w:val="0"/>
      <w:marTop w:val="0"/>
      <w:marBottom w:val="0"/>
      <w:divBdr>
        <w:top w:val="none" w:sz="0" w:space="0" w:color="auto"/>
        <w:left w:val="none" w:sz="0" w:space="0" w:color="auto"/>
        <w:bottom w:val="none" w:sz="0" w:space="0" w:color="auto"/>
        <w:right w:val="none" w:sz="0" w:space="0" w:color="auto"/>
      </w:divBdr>
    </w:div>
    <w:div w:id="1636135813">
      <w:bodyDiv w:val="1"/>
      <w:marLeft w:val="0"/>
      <w:marRight w:val="0"/>
      <w:marTop w:val="0"/>
      <w:marBottom w:val="0"/>
      <w:divBdr>
        <w:top w:val="none" w:sz="0" w:space="0" w:color="auto"/>
        <w:left w:val="none" w:sz="0" w:space="0" w:color="auto"/>
        <w:bottom w:val="none" w:sz="0" w:space="0" w:color="auto"/>
        <w:right w:val="none" w:sz="0" w:space="0" w:color="auto"/>
      </w:divBdr>
    </w:div>
    <w:div w:id="1656101631">
      <w:bodyDiv w:val="1"/>
      <w:marLeft w:val="0"/>
      <w:marRight w:val="0"/>
      <w:marTop w:val="0"/>
      <w:marBottom w:val="0"/>
      <w:divBdr>
        <w:top w:val="none" w:sz="0" w:space="0" w:color="auto"/>
        <w:left w:val="none" w:sz="0" w:space="0" w:color="auto"/>
        <w:bottom w:val="none" w:sz="0" w:space="0" w:color="auto"/>
        <w:right w:val="none" w:sz="0" w:space="0" w:color="auto"/>
      </w:divBdr>
    </w:div>
    <w:div w:id="1660115609">
      <w:bodyDiv w:val="1"/>
      <w:marLeft w:val="0"/>
      <w:marRight w:val="0"/>
      <w:marTop w:val="0"/>
      <w:marBottom w:val="0"/>
      <w:divBdr>
        <w:top w:val="none" w:sz="0" w:space="0" w:color="auto"/>
        <w:left w:val="none" w:sz="0" w:space="0" w:color="auto"/>
        <w:bottom w:val="none" w:sz="0" w:space="0" w:color="auto"/>
        <w:right w:val="none" w:sz="0" w:space="0" w:color="auto"/>
      </w:divBdr>
    </w:div>
    <w:div w:id="1673292676">
      <w:bodyDiv w:val="1"/>
      <w:marLeft w:val="0"/>
      <w:marRight w:val="0"/>
      <w:marTop w:val="0"/>
      <w:marBottom w:val="0"/>
      <w:divBdr>
        <w:top w:val="none" w:sz="0" w:space="0" w:color="auto"/>
        <w:left w:val="none" w:sz="0" w:space="0" w:color="auto"/>
        <w:bottom w:val="none" w:sz="0" w:space="0" w:color="auto"/>
        <w:right w:val="none" w:sz="0" w:space="0" w:color="auto"/>
      </w:divBdr>
    </w:div>
    <w:div w:id="1687248743">
      <w:bodyDiv w:val="1"/>
      <w:marLeft w:val="0"/>
      <w:marRight w:val="0"/>
      <w:marTop w:val="0"/>
      <w:marBottom w:val="0"/>
      <w:divBdr>
        <w:top w:val="none" w:sz="0" w:space="0" w:color="auto"/>
        <w:left w:val="none" w:sz="0" w:space="0" w:color="auto"/>
        <w:bottom w:val="none" w:sz="0" w:space="0" w:color="auto"/>
        <w:right w:val="none" w:sz="0" w:space="0" w:color="auto"/>
      </w:divBdr>
    </w:div>
    <w:div w:id="1726635046">
      <w:bodyDiv w:val="1"/>
      <w:marLeft w:val="0"/>
      <w:marRight w:val="0"/>
      <w:marTop w:val="0"/>
      <w:marBottom w:val="0"/>
      <w:divBdr>
        <w:top w:val="none" w:sz="0" w:space="0" w:color="auto"/>
        <w:left w:val="none" w:sz="0" w:space="0" w:color="auto"/>
        <w:bottom w:val="none" w:sz="0" w:space="0" w:color="auto"/>
        <w:right w:val="none" w:sz="0" w:space="0" w:color="auto"/>
      </w:divBdr>
    </w:div>
    <w:div w:id="1777290685">
      <w:bodyDiv w:val="1"/>
      <w:marLeft w:val="0"/>
      <w:marRight w:val="0"/>
      <w:marTop w:val="0"/>
      <w:marBottom w:val="0"/>
      <w:divBdr>
        <w:top w:val="none" w:sz="0" w:space="0" w:color="auto"/>
        <w:left w:val="none" w:sz="0" w:space="0" w:color="auto"/>
        <w:bottom w:val="none" w:sz="0" w:space="0" w:color="auto"/>
        <w:right w:val="none" w:sz="0" w:space="0" w:color="auto"/>
      </w:divBdr>
    </w:div>
    <w:div w:id="1782845871">
      <w:bodyDiv w:val="1"/>
      <w:marLeft w:val="0"/>
      <w:marRight w:val="0"/>
      <w:marTop w:val="0"/>
      <w:marBottom w:val="0"/>
      <w:divBdr>
        <w:top w:val="none" w:sz="0" w:space="0" w:color="auto"/>
        <w:left w:val="none" w:sz="0" w:space="0" w:color="auto"/>
        <w:bottom w:val="none" w:sz="0" w:space="0" w:color="auto"/>
        <w:right w:val="none" w:sz="0" w:space="0" w:color="auto"/>
      </w:divBdr>
    </w:div>
    <w:div w:id="1793863961">
      <w:bodyDiv w:val="1"/>
      <w:marLeft w:val="0"/>
      <w:marRight w:val="0"/>
      <w:marTop w:val="0"/>
      <w:marBottom w:val="0"/>
      <w:divBdr>
        <w:top w:val="none" w:sz="0" w:space="0" w:color="auto"/>
        <w:left w:val="none" w:sz="0" w:space="0" w:color="auto"/>
        <w:bottom w:val="none" w:sz="0" w:space="0" w:color="auto"/>
        <w:right w:val="none" w:sz="0" w:space="0" w:color="auto"/>
      </w:divBdr>
    </w:div>
    <w:div w:id="1802846086">
      <w:bodyDiv w:val="1"/>
      <w:marLeft w:val="0"/>
      <w:marRight w:val="0"/>
      <w:marTop w:val="0"/>
      <w:marBottom w:val="0"/>
      <w:divBdr>
        <w:top w:val="none" w:sz="0" w:space="0" w:color="auto"/>
        <w:left w:val="none" w:sz="0" w:space="0" w:color="auto"/>
        <w:bottom w:val="none" w:sz="0" w:space="0" w:color="auto"/>
        <w:right w:val="none" w:sz="0" w:space="0" w:color="auto"/>
      </w:divBdr>
    </w:div>
    <w:div w:id="1812164023">
      <w:bodyDiv w:val="1"/>
      <w:marLeft w:val="0"/>
      <w:marRight w:val="0"/>
      <w:marTop w:val="0"/>
      <w:marBottom w:val="0"/>
      <w:divBdr>
        <w:top w:val="none" w:sz="0" w:space="0" w:color="auto"/>
        <w:left w:val="none" w:sz="0" w:space="0" w:color="auto"/>
        <w:bottom w:val="none" w:sz="0" w:space="0" w:color="auto"/>
        <w:right w:val="none" w:sz="0" w:space="0" w:color="auto"/>
      </w:divBdr>
    </w:div>
    <w:div w:id="1812477395">
      <w:bodyDiv w:val="1"/>
      <w:marLeft w:val="0"/>
      <w:marRight w:val="0"/>
      <w:marTop w:val="0"/>
      <w:marBottom w:val="0"/>
      <w:divBdr>
        <w:top w:val="none" w:sz="0" w:space="0" w:color="auto"/>
        <w:left w:val="none" w:sz="0" w:space="0" w:color="auto"/>
        <w:bottom w:val="none" w:sz="0" w:space="0" w:color="auto"/>
        <w:right w:val="none" w:sz="0" w:space="0" w:color="auto"/>
      </w:divBdr>
    </w:div>
    <w:div w:id="1815902217">
      <w:bodyDiv w:val="1"/>
      <w:marLeft w:val="0"/>
      <w:marRight w:val="0"/>
      <w:marTop w:val="0"/>
      <w:marBottom w:val="0"/>
      <w:divBdr>
        <w:top w:val="none" w:sz="0" w:space="0" w:color="auto"/>
        <w:left w:val="none" w:sz="0" w:space="0" w:color="auto"/>
        <w:bottom w:val="none" w:sz="0" w:space="0" w:color="auto"/>
        <w:right w:val="none" w:sz="0" w:space="0" w:color="auto"/>
      </w:divBdr>
    </w:div>
    <w:div w:id="1825584781">
      <w:bodyDiv w:val="1"/>
      <w:marLeft w:val="0"/>
      <w:marRight w:val="0"/>
      <w:marTop w:val="0"/>
      <w:marBottom w:val="0"/>
      <w:divBdr>
        <w:top w:val="none" w:sz="0" w:space="0" w:color="auto"/>
        <w:left w:val="none" w:sz="0" w:space="0" w:color="auto"/>
        <w:bottom w:val="none" w:sz="0" w:space="0" w:color="auto"/>
        <w:right w:val="none" w:sz="0" w:space="0" w:color="auto"/>
      </w:divBdr>
    </w:div>
    <w:div w:id="1862165488">
      <w:bodyDiv w:val="1"/>
      <w:marLeft w:val="0"/>
      <w:marRight w:val="0"/>
      <w:marTop w:val="0"/>
      <w:marBottom w:val="0"/>
      <w:divBdr>
        <w:top w:val="none" w:sz="0" w:space="0" w:color="auto"/>
        <w:left w:val="none" w:sz="0" w:space="0" w:color="auto"/>
        <w:bottom w:val="none" w:sz="0" w:space="0" w:color="auto"/>
        <w:right w:val="none" w:sz="0" w:space="0" w:color="auto"/>
      </w:divBdr>
    </w:div>
    <w:div w:id="1886134581">
      <w:bodyDiv w:val="1"/>
      <w:marLeft w:val="0"/>
      <w:marRight w:val="0"/>
      <w:marTop w:val="0"/>
      <w:marBottom w:val="0"/>
      <w:divBdr>
        <w:top w:val="none" w:sz="0" w:space="0" w:color="auto"/>
        <w:left w:val="none" w:sz="0" w:space="0" w:color="auto"/>
        <w:bottom w:val="none" w:sz="0" w:space="0" w:color="auto"/>
        <w:right w:val="none" w:sz="0" w:space="0" w:color="auto"/>
      </w:divBdr>
    </w:div>
    <w:div w:id="1910916183">
      <w:bodyDiv w:val="1"/>
      <w:marLeft w:val="0"/>
      <w:marRight w:val="0"/>
      <w:marTop w:val="0"/>
      <w:marBottom w:val="0"/>
      <w:divBdr>
        <w:top w:val="none" w:sz="0" w:space="0" w:color="auto"/>
        <w:left w:val="none" w:sz="0" w:space="0" w:color="auto"/>
        <w:bottom w:val="none" w:sz="0" w:space="0" w:color="auto"/>
        <w:right w:val="none" w:sz="0" w:space="0" w:color="auto"/>
      </w:divBdr>
    </w:div>
    <w:div w:id="1962373620">
      <w:bodyDiv w:val="1"/>
      <w:marLeft w:val="0"/>
      <w:marRight w:val="0"/>
      <w:marTop w:val="0"/>
      <w:marBottom w:val="0"/>
      <w:divBdr>
        <w:top w:val="none" w:sz="0" w:space="0" w:color="auto"/>
        <w:left w:val="none" w:sz="0" w:space="0" w:color="auto"/>
        <w:bottom w:val="none" w:sz="0" w:space="0" w:color="auto"/>
        <w:right w:val="none" w:sz="0" w:space="0" w:color="auto"/>
      </w:divBdr>
    </w:div>
    <w:div w:id="1977636502">
      <w:bodyDiv w:val="1"/>
      <w:marLeft w:val="0"/>
      <w:marRight w:val="0"/>
      <w:marTop w:val="0"/>
      <w:marBottom w:val="0"/>
      <w:divBdr>
        <w:top w:val="none" w:sz="0" w:space="0" w:color="auto"/>
        <w:left w:val="none" w:sz="0" w:space="0" w:color="auto"/>
        <w:bottom w:val="none" w:sz="0" w:space="0" w:color="auto"/>
        <w:right w:val="none" w:sz="0" w:space="0" w:color="auto"/>
      </w:divBdr>
    </w:div>
    <w:div w:id="1986465113">
      <w:bodyDiv w:val="1"/>
      <w:marLeft w:val="0"/>
      <w:marRight w:val="0"/>
      <w:marTop w:val="0"/>
      <w:marBottom w:val="0"/>
      <w:divBdr>
        <w:top w:val="none" w:sz="0" w:space="0" w:color="auto"/>
        <w:left w:val="none" w:sz="0" w:space="0" w:color="auto"/>
        <w:bottom w:val="none" w:sz="0" w:space="0" w:color="auto"/>
        <w:right w:val="none" w:sz="0" w:space="0" w:color="auto"/>
      </w:divBdr>
    </w:div>
    <w:div w:id="1988440253">
      <w:bodyDiv w:val="1"/>
      <w:marLeft w:val="0"/>
      <w:marRight w:val="0"/>
      <w:marTop w:val="0"/>
      <w:marBottom w:val="0"/>
      <w:divBdr>
        <w:top w:val="none" w:sz="0" w:space="0" w:color="auto"/>
        <w:left w:val="none" w:sz="0" w:space="0" w:color="auto"/>
        <w:bottom w:val="none" w:sz="0" w:space="0" w:color="auto"/>
        <w:right w:val="none" w:sz="0" w:space="0" w:color="auto"/>
      </w:divBdr>
    </w:div>
    <w:div w:id="1999377465">
      <w:bodyDiv w:val="1"/>
      <w:marLeft w:val="0"/>
      <w:marRight w:val="0"/>
      <w:marTop w:val="0"/>
      <w:marBottom w:val="0"/>
      <w:divBdr>
        <w:top w:val="none" w:sz="0" w:space="0" w:color="auto"/>
        <w:left w:val="none" w:sz="0" w:space="0" w:color="auto"/>
        <w:bottom w:val="none" w:sz="0" w:space="0" w:color="auto"/>
        <w:right w:val="none" w:sz="0" w:space="0" w:color="auto"/>
      </w:divBdr>
    </w:div>
    <w:div w:id="2007777424">
      <w:bodyDiv w:val="1"/>
      <w:marLeft w:val="0"/>
      <w:marRight w:val="0"/>
      <w:marTop w:val="0"/>
      <w:marBottom w:val="0"/>
      <w:divBdr>
        <w:top w:val="none" w:sz="0" w:space="0" w:color="auto"/>
        <w:left w:val="none" w:sz="0" w:space="0" w:color="auto"/>
        <w:bottom w:val="none" w:sz="0" w:space="0" w:color="auto"/>
        <w:right w:val="none" w:sz="0" w:space="0" w:color="auto"/>
      </w:divBdr>
    </w:div>
    <w:div w:id="2009553575">
      <w:bodyDiv w:val="1"/>
      <w:marLeft w:val="0"/>
      <w:marRight w:val="0"/>
      <w:marTop w:val="0"/>
      <w:marBottom w:val="0"/>
      <w:divBdr>
        <w:top w:val="none" w:sz="0" w:space="0" w:color="auto"/>
        <w:left w:val="none" w:sz="0" w:space="0" w:color="auto"/>
        <w:bottom w:val="none" w:sz="0" w:space="0" w:color="auto"/>
        <w:right w:val="none" w:sz="0" w:space="0" w:color="auto"/>
      </w:divBdr>
    </w:div>
    <w:div w:id="2069566714">
      <w:bodyDiv w:val="1"/>
      <w:marLeft w:val="0"/>
      <w:marRight w:val="0"/>
      <w:marTop w:val="0"/>
      <w:marBottom w:val="0"/>
      <w:divBdr>
        <w:top w:val="none" w:sz="0" w:space="0" w:color="auto"/>
        <w:left w:val="none" w:sz="0" w:space="0" w:color="auto"/>
        <w:bottom w:val="none" w:sz="0" w:space="0" w:color="auto"/>
        <w:right w:val="none" w:sz="0" w:space="0" w:color="auto"/>
      </w:divBdr>
    </w:div>
    <w:div w:id="2085293064">
      <w:bodyDiv w:val="1"/>
      <w:marLeft w:val="0"/>
      <w:marRight w:val="0"/>
      <w:marTop w:val="0"/>
      <w:marBottom w:val="0"/>
      <w:divBdr>
        <w:top w:val="none" w:sz="0" w:space="0" w:color="auto"/>
        <w:left w:val="none" w:sz="0" w:space="0" w:color="auto"/>
        <w:bottom w:val="none" w:sz="0" w:space="0" w:color="auto"/>
        <w:right w:val="none" w:sz="0" w:space="0" w:color="auto"/>
      </w:divBdr>
    </w:div>
    <w:div w:id="2094666613">
      <w:bodyDiv w:val="1"/>
      <w:marLeft w:val="0"/>
      <w:marRight w:val="0"/>
      <w:marTop w:val="0"/>
      <w:marBottom w:val="0"/>
      <w:divBdr>
        <w:top w:val="none" w:sz="0" w:space="0" w:color="auto"/>
        <w:left w:val="none" w:sz="0" w:space="0" w:color="auto"/>
        <w:bottom w:val="none" w:sz="0" w:space="0" w:color="auto"/>
        <w:right w:val="none" w:sz="0" w:space="0" w:color="auto"/>
      </w:divBdr>
    </w:div>
    <w:div w:id="2129740230">
      <w:bodyDiv w:val="1"/>
      <w:marLeft w:val="0"/>
      <w:marRight w:val="0"/>
      <w:marTop w:val="0"/>
      <w:marBottom w:val="0"/>
      <w:divBdr>
        <w:top w:val="none" w:sz="0" w:space="0" w:color="auto"/>
        <w:left w:val="none" w:sz="0" w:space="0" w:color="auto"/>
        <w:bottom w:val="none" w:sz="0" w:space="0" w:color="auto"/>
        <w:right w:val="none" w:sz="0" w:space="0" w:color="auto"/>
      </w:divBdr>
    </w:div>
    <w:div w:id="21339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ector">
  <a:themeElements>
    <a:clrScheme name="Sector">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ctor">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cto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4096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APLICACION DEL SIS SIAFIG</dc:creator>
  <cp:keywords/>
  <dc:description/>
  <cp:lastModifiedBy>GONZALO</cp:lastModifiedBy>
  <cp:revision>4</cp:revision>
  <cp:lastPrinted>2017-07-10T13:41:00Z</cp:lastPrinted>
  <dcterms:created xsi:type="dcterms:W3CDTF">2017-07-21T04:58:00Z</dcterms:created>
  <dcterms:modified xsi:type="dcterms:W3CDTF">2017-07-21T04:59:00Z</dcterms:modified>
</cp:coreProperties>
</file>